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AF1DD" w:themeColor="accent3" w:themeTint="33"/>
  <w:body>
    <w:tbl>
      <w:tblPr>
        <w:tblStyle w:val="TableGrid"/>
        <w:tblW w:w="0" w:type="auto"/>
        <w:tblBorders>
          <w:top w:val="single" w:sz="4" w:space="0" w:color="EFEFEF"/>
          <w:left w:val="single" w:sz="4" w:space="0" w:color="EFEFEF"/>
          <w:bottom w:val="none" w:sz="0" w:space="0" w:color="auto"/>
          <w:right w:val="single" w:sz="4" w:space="0" w:color="EFEFEF"/>
          <w:insideH w:val="single" w:sz="4" w:space="0" w:color="EFEFEF"/>
          <w:insideV w:val="single" w:sz="4" w:space="0" w:color="EFEFEF"/>
        </w:tblBorders>
        <w:tblLook w:val="04A0" w:firstRow="1" w:lastRow="0" w:firstColumn="1" w:lastColumn="0" w:noHBand="0" w:noVBand="1"/>
      </w:tblPr>
      <w:tblGrid>
        <w:gridCol w:w="2830"/>
        <w:gridCol w:w="7626"/>
      </w:tblGrid>
      <w:tr w:rsidR="00E53CB3" w14:paraId="14BF4844" w14:textId="77777777" w:rsidTr="00730011">
        <w:trPr>
          <w:trHeight w:val="1684"/>
        </w:trPr>
        <w:tc>
          <w:tcPr>
            <w:tcW w:w="2830" w:type="dxa"/>
          </w:tcPr>
          <w:p w14:paraId="39F7A924" w14:textId="0EC5F270" w:rsidR="00E53CB3" w:rsidRDefault="00991EE2" w:rsidP="005A7000">
            <w:r>
              <w:rPr>
                <w:noProof/>
              </w:rPr>
              <w:drawing>
                <wp:inline distT="0" distB="0" distL="0" distR="0" wp14:anchorId="3F808B61" wp14:editId="75A9D10E">
                  <wp:extent cx="1609725" cy="1609725"/>
                  <wp:effectExtent l="0" t="0" r="0" b="0"/>
                  <wp:docPr id="2" name="Picture 1" descr="Food_Power_Logo_Web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_Power_Logo_Web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tc>
        <w:tc>
          <w:tcPr>
            <w:tcW w:w="7626" w:type="dxa"/>
            <w:vAlign w:val="center"/>
          </w:tcPr>
          <w:p w14:paraId="6D208C9D" w14:textId="4049D15D" w:rsidR="00E53CB3" w:rsidRDefault="00D9232A" w:rsidP="00947F2F">
            <w:pPr>
              <w:pStyle w:val="Heading1"/>
              <w:outlineLvl w:val="0"/>
            </w:pPr>
            <w:r>
              <w:rPr>
                <w:sz w:val="50"/>
              </w:rPr>
              <w:t xml:space="preserve"> Building a resilience toolkit in Leeds</w:t>
            </w:r>
            <w:r w:rsidR="009B62D4">
              <w:rPr>
                <w:sz w:val="50"/>
              </w:rPr>
              <w:t>]</w:t>
            </w:r>
            <w:r w:rsidR="00E53CB3" w:rsidRPr="00E53CB3">
              <w:br/>
            </w:r>
            <w:r w:rsidR="005A7000">
              <w:rPr>
                <w:rStyle w:val="Heading2Char"/>
                <w:b/>
                <w:bCs/>
              </w:rPr>
              <w:t>Food Wise Leeds</w:t>
            </w:r>
            <w:r>
              <w:rPr>
                <w:rStyle w:val="Heading2Char"/>
                <w:b/>
                <w:bCs/>
              </w:rPr>
              <w:t>, May 2021</w:t>
            </w:r>
          </w:p>
        </w:tc>
      </w:tr>
    </w:tbl>
    <w:p w14:paraId="09441B78" w14:textId="414F4BC2" w:rsidR="00B54F1A" w:rsidRDefault="00B54F1A" w:rsidP="00B54F1A">
      <w:pPr>
        <w:sectPr w:rsidR="00B54F1A" w:rsidSect="00E53CB3">
          <w:footerReference w:type="default" r:id="rId12"/>
          <w:pgSz w:w="11906" w:h="16838"/>
          <w:pgMar w:top="567" w:right="720" w:bottom="720" w:left="720" w:header="0" w:footer="624" w:gutter="0"/>
          <w:cols w:space="708"/>
          <w:docGrid w:linePitch="360"/>
        </w:sectPr>
      </w:pPr>
    </w:p>
    <w:p w14:paraId="7AC56063" w14:textId="55F0AED0" w:rsidR="0076360B" w:rsidRPr="00390F9D" w:rsidRDefault="009B62D4" w:rsidP="0076360B">
      <w:pPr>
        <w:pStyle w:val="Heading2"/>
        <w:spacing w:after="120"/>
      </w:pPr>
      <w:r>
        <w:t xml:space="preserve">Building local food resilience in </w:t>
      </w:r>
      <w:r w:rsidR="0076360B">
        <w:t>Leeds</w:t>
      </w:r>
    </w:p>
    <w:p w14:paraId="010FA264" w14:textId="0034C1FF" w:rsidR="0076360B" w:rsidRPr="0076360B" w:rsidRDefault="00390F9D" w:rsidP="0076360B">
      <w:pPr>
        <w:pStyle w:val="Heading2"/>
        <w:spacing w:after="120"/>
        <w:rPr>
          <w:b w:val="0"/>
          <w:color w:val="auto"/>
          <w:spacing w:val="0"/>
          <w:sz w:val="22"/>
          <w:szCs w:val="22"/>
        </w:rPr>
      </w:pPr>
      <w:r>
        <w:rPr>
          <w:b w:val="0"/>
          <w:noProof/>
          <w:color w:val="auto"/>
          <w:spacing w:val="0"/>
          <w:sz w:val="22"/>
          <w:szCs w:val="22"/>
        </w:rPr>
        <w:drawing>
          <wp:anchor distT="0" distB="0" distL="114300" distR="114300" simplePos="0" relativeHeight="251660800" behindDoc="1" locked="0" layoutInCell="1" allowOverlap="1" wp14:anchorId="4B9400FF" wp14:editId="03030C70">
            <wp:simplePos x="0" y="0"/>
            <wp:positionH relativeFrom="margin">
              <wp:align>right</wp:align>
            </wp:positionH>
            <wp:positionV relativeFrom="paragraph">
              <wp:posOffset>13335</wp:posOffset>
            </wp:positionV>
            <wp:extent cx="1697990" cy="2419350"/>
            <wp:effectExtent l="0" t="0" r="0" b="0"/>
            <wp:wrapTight wrapText="bothSides">
              <wp:wrapPolygon edited="0">
                <wp:start x="0" y="0"/>
                <wp:lineTo x="0" y="21430"/>
                <wp:lineTo x="21325" y="21430"/>
                <wp:lineTo x="21325"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3">
                      <a:extLst>
                        <a:ext uri="{28A0092B-C50C-407E-A947-70E740481C1C}">
                          <a14:useLocalDpi xmlns:a14="http://schemas.microsoft.com/office/drawing/2010/main" val="0"/>
                        </a:ext>
                      </a:extLst>
                    </a:blip>
                    <a:srcRect l="34827" t="17845" r="35792" b="7716"/>
                    <a:stretch/>
                  </pic:blipFill>
                  <pic:spPr bwMode="auto">
                    <a:xfrm>
                      <a:off x="0" y="0"/>
                      <a:ext cx="1697990"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360B" w:rsidRPr="0076360B">
        <w:rPr>
          <w:b w:val="0"/>
          <w:color w:val="auto"/>
          <w:spacing w:val="0"/>
          <w:sz w:val="22"/>
          <w:szCs w:val="22"/>
        </w:rPr>
        <w:t xml:space="preserve">The Building Food Resilience Toolkit aims to support food aid providers to </w:t>
      </w:r>
      <w:r w:rsidR="0076360B">
        <w:rPr>
          <w:b w:val="0"/>
          <w:color w:val="auto"/>
          <w:spacing w:val="0"/>
          <w:sz w:val="22"/>
          <w:szCs w:val="22"/>
        </w:rPr>
        <w:t xml:space="preserve">use information and </w:t>
      </w:r>
      <w:r w:rsidR="0076360B" w:rsidRPr="0076360B">
        <w:rPr>
          <w:b w:val="0"/>
          <w:color w:val="auto"/>
          <w:spacing w:val="0"/>
          <w:sz w:val="22"/>
          <w:szCs w:val="22"/>
        </w:rPr>
        <w:t>understand ways t</w:t>
      </w:r>
      <w:r w:rsidR="0076360B">
        <w:rPr>
          <w:b w:val="0"/>
          <w:color w:val="auto"/>
          <w:spacing w:val="0"/>
          <w:sz w:val="22"/>
          <w:szCs w:val="22"/>
        </w:rPr>
        <w:t>o</w:t>
      </w:r>
      <w:r w:rsidR="0076360B" w:rsidRPr="0076360B">
        <w:rPr>
          <w:b w:val="0"/>
          <w:color w:val="auto"/>
          <w:spacing w:val="0"/>
          <w:sz w:val="22"/>
          <w:szCs w:val="22"/>
        </w:rPr>
        <w:t xml:space="preserve"> help support people back to food independence. </w:t>
      </w:r>
    </w:p>
    <w:p w14:paraId="19154720" w14:textId="19B4E781" w:rsidR="0076360B" w:rsidRDefault="0076360B" w:rsidP="0076360B">
      <w:pPr>
        <w:pStyle w:val="Heading2"/>
        <w:spacing w:after="120"/>
        <w:rPr>
          <w:b w:val="0"/>
          <w:color w:val="auto"/>
          <w:spacing w:val="0"/>
          <w:sz w:val="22"/>
          <w:szCs w:val="22"/>
        </w:rPr>
      </w:pPr>
      <w:r w:rsidRPr="0076360B">
        <w:rPr>
          <w:b w:val="0"/>
          <w:color w:val="auto"/>
          <w:spacing w:val="0"/>
          <w:sz w:val="22"/>
          <w:szCs w:val="22"/>
        </w:rPr>
        <w:t>Learning from the current food aid provision in the city system has highlighted:</w:t>
      </w:r>
    </w:p>
    <w:p w14:paraId="13E35C73" w14:textId="4C21FAAE" w:rsidR="0076360B" w:rsidRPr="0076360B" w:rsidRDefault="00EC15AB" w:rsidP="0076360B">
      <w:pPr>
        <w:pStyle w:val="Heading2"/>
        <w:numPr>
          <w:ilvl w:val="0"/>
          <w:numId w:val="17"/>
        </w:numPr>
        <w:spacing w:after="120"/>
        <w:rPr>
          <w:b w:val="0"/>
          <w:color w:val="000000" w:themeColor="text1"/>
          <w:spacing w:val="0"/>
          <w:sz w:val="22"/>
          <w:szCs w:val="22"/>
        </w:rPr>
      </w:pPr>
      <w:r w:rsidRPr="00EC15AB">
        <w:rPr>
          <w:b w:val="0"/>
          <w:noProof/>
          <w:color w:val="auto"/>
          <w:spacing w:val="0"/>
          <w:sz w:val="22"/>
          <w:szCs w:val="22"/>
        </w:rPr>
        <mc:AlternateContent>
          <mc:Choice Requires="wps">
            <w:drawing>
              <wp:anchor distT="45720" distB="45720" distL="114300" distR="114300" simplePos="0" relativeHeight="251661824" behindDoc="1" locked="0" layoutInCell="1" allowOverlap="1" wp14:anchorId="7FFFFFA9" wp14:editId="612DEB14">
                <wp:simplePos x="0" y="0"/>
                <wp:positionH relativeFrom="margin">
                  <wp:align>right</wp:align>
                </wp:positionH>
                <wp:positionV relativeFrom="paragraph">
                  <wp:posOffset>388620</wp:posOffset>
                </wp:positionV>
                <wp:extent cx="1707515" cy="299720"/>
                <wp:effectExtent l="0" t="0" r="6985" b="5080"/>
                <wp:wrapTight wrapText="bothSides">
                  <wp:wrapPolygon edited="0">
                    <wp:start x="0" y="0"/>
                    <wp:lineTo x="0" y="20593"/>
                    <wp:lineTo x="21447" y="20593"/>
                    <wp:lineTo x="2144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99720"/>
                        </a:xfrm>
                        <a:prstGeom prst="rect">
                          <a:avLst/>
                        </a:prstGeom>
                        <a:solidFill>
                          <a:srgbClr val="FFC000"/>
                        </a:solidFill>
                        <a:ln w="9525">
                          <a:noFill/>
                          <a:miter lim="800000"/>
                          <a:headEnd/>
                          <a:tailEnd/>
                        </a:ln>
                      </wps:spPr>
                      <wps:txbx>
                        <w:txbxContent>
                          <w:p w14:paraId="7351BC2C" w14:textId="73B8AC8D" w:rsidR="00EC15AB" w:rsidRDefault="00EC15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FFFA9" id="_x0000_t202" coordsize="21600,21600" o:spt="202" path="m,l,21600r21600,l21600,xe">
                <v:stroke joinstyle="miter"/>
                <v:path gradientshapeok="t" o:connecttype="rect"/>
              </v:shapetype>
              <v:shape id="Text Box 2" o:spid="_x0000_s1026" type="#_x0000_t202" style="position:absolute;left:0;text-align:left;margin-left:83.25pt;margin-top:30.6pt;width:134.45pt;height:23.6pt;z-index:-251654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" fillcolor="#ffc000" stroked="f">
                <v:textbox>
                  <w:txbxContent>
                    <w:p w14:paraId="7351BC2C" w14:textId="73B8AC8D" w:rsidR="00EC15AB" w:rsidRDefault="00EC15AB"/>
                  </w:txbxContent>
                </v:textbox>
                <w10:wrap type="tight" anchorx="margin"/>
              </v:shape>
            </w:pict>
          </mc:Fallback>
        </mc:AlternateContent>
      </w:r>
      <w:r w:rsidR="0076360B" w:rsidRPr="0076360B">
        <w:rPr>
          <w:b w:val="0"/>
          <w:color w:val="000000" w:themeColor="text1"/>
          <w:spacing w:val="0"/>
          <w:sz w:val="22"/>
          <w:szCs w:val="22"/>
        </w:rPr>
        <w:t>A need to implement a “Making Every Contact Counts” approach across food aid providers to give staff and volunteers the confidence and skills to explore the circumstances that have resulted in the need for food aid support</w:t>
      </w:r>
    </w:p>
    <w:p w14:paraId="00A82347" w14:textId="77777777" w:rsidR="0076360B" w:rsidRPr="0076360B" w:rsidRDefault="0076360B" w:rsidP="0076360B">
      <w:pPr>
        <w:pStyle w:val="Heading2"/>
        <w:numPr>
          <w:ilvl w:val="0"/>
          <w:numId w:val="17"/>
        </w:numPr>
        <w:spacing w:after="120"/>
        <w:rPr>
          <w:b w:val="0"/>
          <w:color w:val="000000" w:themeColor="text1"/>
          <w:spacing w:val="0"/>
          <w:sz w:val="22"/>
          <w:szCs w:val="22"/>
        </w:rPr>
      </w:pPr>
      <w:r w:rsidRPr="0076360B">
        <w:rPr>
          <w:b w:val="0"/>
          <w:color w:val="000000" w:themeColor="text1"/>
          <w:spacing w:val="0"/>
          <w:sz w:val="22"/>
          <w:szCs w:val="22"/>
        </w:rPr>
        <w:t>A need for clearer information on signposting opportunities in the city (based on the challenges identified directly by food aid providers).</w:t>
      </w:r>
    </w:p>
    <w:p w14:paraId="576A72FE" w14:textId="23B79CBC" w:rsidR="00FB749D" w:rsidRPr="00EC15AB" w:rsidRDefault="0076360B" w:rsidP="00EC15AB">
      <w:pPr>
        <w:pStyle w:val="Heading2"/>
        <w:numPr>
          <w:ilvl w:val="0"/>
          <w:numId w:val="17"/>
        </w:numPr>
        <w:spacing w:after="120"/>
        <w:rPr>
          <w:b w:val="0"/>
          <w:bCs/>
          <w:color w:val="000000" w:themeColor="text1"/>
          <w:spacing w:val="0"/>
          <w:sz w:val="22"/>
          <w:szCs w:val="22"/>
        </w:rPr>
      </w:pPr>
      <w:r w:rsidRPr="0076360B">
        <w:rPr>
          <w:b w:val="0"/>
          <w:bCs/>
          <w:color w:val="000000" w:themeColor="text1"/>
          <w:sz w:val="22"/>
          <w:szCs w:val="22"/>
        </w:rPr>
        <w:t xml:space="preserve">A need to share learning amongst food aid provider to encourage different models of food aid provision moving from free food parcels to other provision such as  “pay as you feel”,  </w:t>
      </w:r>
      <w:r w:rsidRPr="00EC15AB">
        <w:rPr>
          <w:b w:val="0"/>
          <w:bCs/>
          <w:color w:val="000000" w:themeColor="text1"/>
          <w:sz w:val="22"/>
          <w:szCs w:val="22"/>
        </w:rPr>
        <w:t>food pantry, cook and take, social supermarket, mini markets which offer greater choice, ownership and dignity.</w:t>
      </w:r>
      <w:r w:rsidR="009B62D4" w:rsidRPr="00EC15AB">
        <w:rPr>
          <w:b w:val="0"/>
          <w:bCs/>
          <w:color w:val="000000" w:themeColor="text1"/>
          <w:sz w:val="22"/>
          <w:szCs w:val="22"/>
        </w:rPr>
        <w:t xml:space="preserve"> </w:t>
      </w:r>
    </w:p>
    <w:p w14:paraId="4BD464DC" w14:textId="74B10DC3" w:rsidR="0076360B" w:rsidRDefault="00C151AA" w:rsidP="0076360B">
      <w:pPr>
        <w:spacing w:after="120"/>
      </w:pPr>
      <w:r w:rsidRPr="000D6F4B">
        <w:rPr>
          <w:b/>
          <w:noProof/>
          <w:lang w:eastAsia="en-GB"/>
        </w:rPr>
        <mc:AlternateContent>
          <mc:Choice Requires="wps">
            <w:drawing>
              <wp:anchor distT="0" distB="0" distL="114300" distR="114300" simplePos="0" relativeHeight="251657728" behindDoc="0" locked="0" layoutInCell="1" allowOverlap="1" wp14:anchorId="2E44A166" wp14:editId="58CD947B">
                <wp:simplePos x="0" y="0"/>
                <wp:positionH relativeFrom="margin">
                  <wp:posOffset>4733925</wp:posOffset>
                </wp:positionH>
                <wp:positionV relativeFrom="page">
                  <wp:posOffset>5334000</wp:posOffset>
                </wp:positionV>
                <wp:extent cx="2257425" cy="135255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2257425" cy="1352550"/>
                        </a:xfrm>
                        <a:prstGeom prst="rect">
                          <a:avLst/>
                        </a:prstGeom>
                        <a:noFill/>
                        <a:ln w="12700" cap="flat" cmpd="sng" algn="ctr">
                          <a:noFill/>
                          <a:prstDash val="solid"/>
                        </a:ln>
                        <a:effectLst/>
                      </wps:spPr>
                      <wps:txbx>
                        <w:txbxContent>
                          <w:p w14:paraId="33072397" w14:textId="4D382563" w:rsidR="00C151AA" w:rsidRDefault="00C151AA" w:rsidP="00C151AA">
                            <w:pPr>
                              <w:pStyle w:val="Heading2"/>
                              <w:ind w:firstLine="567"/>
                              <w:jc w:val="center"/>
                              <w:rPr>
                                <w:i/>
                                <w:color w:val="808080" w:themeColor="background1" w:themeShade="80"/>
                                <w:sz w:val="24"/>
                                <w:szCs w:val="24"/>
                              </w:rPr>
                            </w:pPr>
                            <w:r w:rsidRPr="00C151AA">
                              <w:rPr>
                                <w:i/>
                                <w:color w:val="808080" w:themeColor="background1" w:themeShade="80"/>
                                <w:sz w:val="24"/>
                                <w:szCs w:val="24"/>
                              </w:rPr>
                              <w:t>“I’m proud of the massive work being done in Leeds and other cities to tackle food poverty... Together we will be able to change things for the better. “</w:t>
                            </w:r>
                            <w:r>
                              <w:rPr>
                                <w:i/>
                                <w:color w:val="808080" w:themeColor="background1" w:themeShade="80"/>
                                <w:sz w:val="24"/>
                                <w:szCs w:val="24"/>
                              </w:rPr>
                              <w:t xml:space="preserve"> </w:t>
                            </w:r>
                          </w:p>
                          <w:p w14:paraId="0CCC6820" w14:textId="730F74F7" w:rsidR="000D6F4B" w:rsidRPr="00C151AA" w:rsidRDefault="00C151AA" w:rsidP="00C151AA">
                            <w:pPr>
                              <w:pStyle w:val="Heading2"/>
                              <w:ind w:firstLine="567"/>
                              <w:jc w:val="right"/>
                              <w:rPr>
                                <w:i/>
                                <w:color w:val="808080" w:themeColor="background1" w:themeShade="80"/>
                                <w:sz w:val="24"/>
                                <w:szCs w:val="24"/>
                              </w:rPr>
                            </w:pPr>
                            <w:proofErr w:type="spellStart"/>
                            <w:r>
                              <w:rPr>
                                <w:rFonts w:ascii="Calibri" w:hAnsi="Calibri" w:cs="Calibri"/>
                                <w:sz w:val="22"/>
                                <w:szCs w:val="22"/>
                                <w:lang w:val="en-US"/>
                              </w:rPr>
                              <w:t>Neruka</w:t>
                            </w:r>
                            <w:proofErr w:type="spellEnd"/>
                            <w:r>
                              <w:rPr>
                                <w:rFonts w:ascii="Calibri" w:hAnsi="Calibri" w:cs="Calibri"/>
                                <w:sz w:val="22"/>
                                <w:szCs w:val="22"/>
                                <w:lang w:val="en-US"/>
                              </w:rPr>
                              <w:t xml:space="preserve"> White, </w:t>
                            </w:r>
                            <w:proofErr w:type="spellStart"/>
                            <w:r>
                              <w:rPr>
                                <w:rFonts w:ascii="Calibri" w:hAnsi="Calibri" w:cs="Calibri"/>
                                <w:sz w:val="22"/>
                                <w:szCs w:val="22"/>
                                <w:lang w:val="en-US"/>
                              </w:rPr>
                              <w:t>Neuka’s</w:t>
                            </w:r>
                            <w:proofErr w:type="spellEnd"/>
                            <w:r>
                              <w:rPr>
                                <w:rFonts w:ascii="Calibri" w:hAnsi="Calibri" w:cs="Calibri"/>
                                <w:sz w:val="22"/>
                                <w:szCs w:val="22"/>
                                <w:lang w:val="en-US"/>
                              </w:rPr>
                              <w:t xml:space="preserve"> Soup Kitchen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4A166" id="Rectangle 5" o:spid="_x0000_s1027" style="position:absolute;margin-left:372.75pt;margin-top:420pt;width:177.75pt;height:10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" filled="f" stroked="f" strokeweight="1pt">
                <v:textbox>
                  <w:txbxContent>
                    <w:p w14:paraId="33072397" w14:textId="4D382563" w:rsidR="00C151AA" w:rsidRDefault="00C151AA" w:rsidP="00C151AA">
                      <w:pPr>
                        <w:pStyle w:val="Heading2"/>
                        <w:ind w:firstLine="567"/>
                        <w:jc w:val="center"/>
                        <w:rPr>
                          <w:i/>
                          <w:color w:val="808080" w:themeColor="background1" w:themeShade="80"/>
                          <w:sz w:val="24"/>
                          <w:szCs w:val="24"/>
                        </w:rPr>
                      </w:pPr>
                      <w:r w:rsidRPr="00C151AA">
                        <w:rPr>
                          <w:i/>
                          <w:color w:val="808080" w:themeColor="background1" w:themeShade="80"/>
                          <w:sz w:val="24"/>
                          <w:szCs w:val="24"/>
                        </w:rPr>
                        <w:t>“I’m proud of the massive work being done in Leeds and other cities to tackle food poverty... Together we will be able to change things for the better. “</w:t>
                      </w:r>
                      <w:r>
                        <w:rPr>
                          <w:i/>
                          <w:color w:val="808080" w:themeColor="background1" w:themeShade="80"/>
                          <w:sz w:val="24"/>
                          <w:szCs w:val="24"/>
                        </w:rPr>
                        <w:t xml:space="preserve"> </w:t>
                      </w:r>
                    </w:p>
                    <w:p w14:paraId="0CCC6820" w14:textId="730F74F7" w:rsidR="000D6F4B" w:rsidRPr="00C151AA" w:rsidRDefault="00C151AA" w:rsidP="00C151AA">
                      <w:pPr>
                        <w:pStyle w:val="Heading2"/>
                        <w:ind w:firstLine="567"/>
                        <w:jc w:val="right"/>
                        <w:rPr>
                          <w:i/>
                          <w:color w:val="808080" w:themeColor="background1" w:themeShade="80"/>
                          <w:sz w:val="24"/>
                          <w:szCs w:val="24"/>
                        </w:rPr>
                      </w:pPr>
                      <w:proofErr w:type="spellStart"/>
                      <w:r>
                        <w:rPr>
                          <w:rFonts w:ascii="Calibri" w:hAnsi="Calibri" w:cs="Calibri"/>
                          <w:sz w:val="22"/>
                          <w:szCs w:val="22"/>
                          <w:lang w:val="en-US"/>
                        </w:rPr>
                        <w:t>Neruka</w:t>
                      </w:r>
                      <w:proofErr w:type="spellEnd"/>
                      <w:r>
                        <w:rPr>
                          <w:rFonts w:ascii="Calibri" w:hAnsi="Calibri" w:cs="Calibri"/>
                          <w:sz w:val="22"/>
                          <w:szCs w:val="22"/>
                          <w:lang w:val="en-US"/>
                        </w:rPr>
                        <w:t xml:space="preserve"> White, </w:t>
                      </w:r>
                      <w:proofErr w:type="spellStart"/>
                      <w:r>
                        <w:rPr>
                          <w:rFonts w:ascii="Calibri" w:hAnsi="Calibri" w:cs="Calibri"/>
                          <w:sz w:val="22"/>
                          <w:szCs w:val="22"/>
                          <w:lang w:val="en-US"/>
                        </w:rPr>
                        <w:t>Neuka’s</w:t>
                      </w:r>
                      <w:proofErr w:type="spellEnd"/>
                      <w:r>
                        <w:rPr>
                          <w:rFonts w:ascii="Calibri" w:hAnsi="Calibri" w:cs="Calibri"/>
                          <w:sz w:val="22"/>
                          <w:szCs w:val="22"/>
                          <w:lang w:val="en-US"/>
                        </w:rPr>
                        <w:t xml:space="preserve"> Soup Kitchen</w:t>
                      </w:r>
                    </w:p>
                  </w:txbxContent>
                </v:textbox>
                <w10:wrap type="square" anchorx="margin" anchory="page"/>
              </v:rect>
            </w:pict>
          </mc:Fallback>
        </mc:AlternateContent>
      </w:r>
      <w:r w:rsidR="0076360B">
        <w:t>To help shape the content of the toolkit, Food Wise Leeds organised two webinars to introduce the concept of building food resilience and capture views and to showcase good practice from a range of different food aid providers who have transitioned from crisis support to approaches that greater enable food independence. The webinars can be viewed here:</w:t>
      </w:r>
      <w:r w:rsidR="0076360B" w:rsidRPr="0076360B">
        <w:t xml:space="preserve"> </w:t>
      </w:r>
      <w:hyperlink r:id="rId14" w:history="1">
        <w:r w:rsidR="0076360B" w:rsidRPr="00AD2591">
          <w:rPr>
            <w:rStyle w:val="Hyperlink"/>
          </w:rPr>
          <w:t>https://foodwiseleeds.org/food-resilience/</w:t>
        </w:r>
      </w:hyperlink>
      <w:r w:rsidR="0076360B">
        <w:t xml:space="preserve"> </w:t>
      </w:r>
    </w:p>
    <w:p w14:paraId="376B399C" w14:textId="629E32F4" w:rsidR="00E53CB3" w:rsidRDefault="00E53CB3" w:rsidP="00EF7C79">
      <w:pPr>
        <w:pStyle w:val="Heading2"/>
        <w:spacing w:after="120"/>
      </w:pPr>
      <w:r w:rsidRPr="00E53CB3">
        <w:t>Challenges and learning</w:t>
      </w:r>
    </w:p>
    <w:p w14:paraId="4E6CC5F9" w14:textId="6B8044E3" w:rsidR="00846C74" w:rsidRPr="00712F70" w:rsidRDefault="00C151AA" w:rsidP="00A2107F">
      <w:pPr>
        <w:spacing w:after="120"/>
        <w:rPr>
          <w:noProof/>
          <w:lang w:eastAsia="en-GB"/>
        </w:rPr>
      </w:pPr>
      <w:r>
        <w:rPr>
          <w:noProof/>
          <w:lang w:eastAsia="en-GB"/>
        </w:rPr>
        <w:t>Throughout the project we have learnt more</w:t>
      </w:r>
      <w:r w:rsidR="00712F70">
        <w:rPr>
          <w:noProof/>
          <w:lang w:eastAsia="en-GB"/>
        </w:rPr>
        <w:t xml:space="preserve"> and more</w:t>
      </w:r>
      <w:r>
        <w:rPr>
          <w:noProof/>
          <w:lang w:eastAsia="en-GB"/>
        </w:rPr>
        <w:t xml:space="preserve"> about the valuable, skills, knowledge and experience of food aid providers in the city and we have agreed to continue to find ways to help good practice sharing</w:t>
      </w:r>
      <w:r w:rsidR="00712F70">
        <w:rPr>
          <w:noProof/>
          <w:lang w:eastAsia="en-GB"/>
        </w:rPr>
        <w:t>. The biggest challenge we have experienced had been to capture the learning and toolkit content with timescale, we could go on for another 6 months capturing information, but we have agreed to continue working through our networks to keep the toolkit up to date – there has been an overwhelming interest in the toolkit.</w:t>
      </w:r>
    </w:p>
    <w:p w14:paraId="3B7713D0" w14:textId="32DFA5F0" w:rsidR="00E53CB3" w:rsidRPr="00E53CB3" w:rsidRDefault="00712F70" w:rsidP="00EF7C79">
      <w:pPr>
        <w:pStyle w:val="Heading2"/>
        <w:spacing w:after="120"/>
      </w:pPr>
      <w:r w:rsidRPr="00A2107F">
        <w:rPr>
          <w:noProof/>
          <w:lang w:eastAsia="en-GB"/>
        </w:rPr>
        <mc:AlternateContent>
          <mc:Choice Requires="wps">
            <w:drawing>
              <wp:anchor distT="0" distB="0" distL="114300" distR="114300" simplePos="0" relativeHeight="251654656" behindDoc="0" locked="0" layoutInCell="1" allowOverlap="1" wp14:anchorId="3F978156" wp14:editId="08E1FCB9">
                <wp:simplePos x="0" y="0"/>
                <wp:positionH relativeFrom="margin">
                  <wp:posOffset>3893185</wp:posOffset>
                </wp:positionH>
                <wp:positionV relativeFrom="page">
                  <wp:posOffset>7496175</wp:posOffset>
                </wp:positionV>
                <wp:extent cx="3074035" cy="1934845"/>
                <wp:effectExtent l="0" t="0" r="0" b="8255"/>
                <wp:wrapSquare wrapText="bothSides"/>
                <wp:docPr id="4" name="Rounded Rectangle 4"/>
                <wp:cNvGraphicFramePr/>
                <a:graphic xmlns:a="http://schemas.openxmlformats.org/drawingml/2006/main">
                  <a:graphicData uri="http://schemas.microsoft.com/office/word/2010/wordprocessingShape">
                    <wps:wsp>
                      <wps:cNvSpPr/>
                      <wps:spPr>
                        <a:xfrm>
                          <a:off x="0" y="0"/>
                          <a:ext cx="3074035" cy="1934845"/>
                        </a:xfrm>
                        <a:prstGeom prst="roundRect">
                          <a:avLst>
                            <a:gd name="adj" fmla="val 6165"/>
                          </a:avLst>
                        </a:prstGeom>
                        <a:solidFill>
                          <a:srgbClr val="1E3292"/>
                        </a:solidFill>
                        <a:ln w="12700">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15B808" w14:textId="2147A764" w:rsidR="006E56CF" w:rsidRDefault="006E56CF" w:rsidP="00064D58">
                            <w:pPr>
                              <w:pStyle w:val="Heading2"/>
                              <w:spacing w:after="120"/>
                              <w:rPr>
                                <w:color w:val="FFFFFF" w:themeColor="background1"/>
                              </w:rPr>
                            </w:pPr>
                            <w:r w:rsidRPr="00AE2BD5">
                              <w:rPr>
                                <w:color w:val="FFFFFF" w:themeColor="background1"/>
                              </w:rPr>
                              <w:t>Outcomes</w:t>
                            </w:r>
                          </w:p>
                          <w:p w14:paraId="14EA6C39" w14:textId="0A6AFC65" w:rsidR="00712F70" w:rsidRDefault="00712F70" w:rsidP="00FB749D">
                            <w:pPr>
                              <w:pStyle w:val="ListParagraph"/>
                              <w:numPr>
                                <w:ilvl w:val="1"/>
                                <w:numId w:val="16"/>
                              </w:numPr>
                            </w:pPr>
                            <w:r>
                              <w:t>Worked as a cross sector steering group to develop the toolkit including food aid providers</w:t>
                            </w:r>
                          </w:p>
                          <w:p w14:paraId="58502718" w14:textId="2C4EA8AB" w:rsidR="009B62D4" w:rsidRPr="00FB749D" w:rsidRDefault="009B62D4" w:rsidP="00FB749D">
                            <w:pPr>
                              <w:pStyle w:val="ListParagraph"/>
                              <w:numPr>
                                <w:ilvl w:val="1"/>
                                <w:numId w:val="16"/>
                              </w:numPr>
                            </w:pPr>
                            <w:r w:rsidRPr="00FB749D">
                              <w:t xml:space="preserve">Hosted </w:t>
                            </w:r>
                            <w:r w:rsidR="00712F70">
                              <w:t>2</w:t>
                            </w:r>
                            <w:r w:rsidRPr="00FB749D">
                              <w:t xml:space="preserve"> webinars with food aid </w:t>
                            </w:r>
                            <w:r w:rsidR="00712F70">
                              <w:t>providers attended by 58 projects</w:t>
                            </w:r>
                          </w:p>
                          <w:p w14:paraId="54ED6BE3" w14:textId="6DFBF79B" w:rsidR="00064D58" w:rsidRPr="00FB749D" w:rsidRDefault="00712F70" w:rsidP="00FB749D">
                            <w:pPr>
                              <w:pStyle w:val="ListParagraph"/>
                              <w:numPr>
                                <w:ilvl w:val="1"/>
                                <w:numId w:val="16"/>
                              </w:numPr>
                            </w:pPr>
                            <w:r>
                              <w:t>Captured feedback on the toolkit drafts from 15 stakeholders working across the food provision system.</w:t>
                            </w:r>
                            <w:r w:rsidR="00FD25CD" w:rsidRPr="00FB749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78156" id="Rounded Rectangle 4" o:spid="_x0000_s1028" style="position:absolute;margin-left:306.55pt;margin-top:590.25pt;width:242.05pt;height:152.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" fillcolor="#1e3292" stroked="f" strokeweight="1pt">
                <v:textbox>
                  <w:txbxContent>
                    <w:p w14:paraId="4515B808" w14:textId="2147A764" w:rsidR="006E56CF" w:rsidRDefault="006E56CF" w:rsidP="00064D58">
                      <w:pPr>
                        <w:pStyle w:val="Heading2"/>
                        <w:spacing w:after="120"/>
                        <w:rPr>
                          <w:color w:val="FFFFFF" w:themeColor="background1"/>
                        </w:rPr>
                      </w:pPr>
                      <w:r w:rsidRPr="00AE2BD5">
                        <w:rPr>
                          <w:color w:val="FFFFFF" w:themeColor="background1"/>
                        </w:rPr>
                        <w:t>Outcomes</w:t>
                      </w:r>
                    </w:p>
                    <w:p w14:paraId="14EA6C39" w14:textId="0A6AFC65" w:rsidR="00712F70" w:rsidRDefault="00712F70" w:rsidP="00FB749D">
                      <w:pPr>
                        <w:pStyle w:val="ListParagraph"/>
                        <w:numPr>
                          <w:ilvl w:val="1"/>
                          <w:numId w:val="16"/>
                        </w:numPr>
                      </w:pPr>
                      <w:r>
                        <w:t>Worked as a cross sector steering group to develop the toolkit including food aid providers</w:t>
                      </w:r>
                    </w:p>
                    <w:p w14:paraId="58502718" w14:textId="2C4EA8AB" w:rsidR="009B62D4" w:rsidRPr="00FB749D" w:rsidRDefault="009B62D4" w:rsidP="00FB749D">
                      <w:pPr>
                        <w:pStyle w:val="ListParagraph"/>
                        <w:numPr>
                          <w:ilvl w:val="1"/>
                          <w:numId w:val="16"/>
                        </w:numPr>
                      </w:pPr>
                      <w:r w:rsidRPr="00FB749D">
                        <w:t xml:space="preserve">Hosted </w:t>
                      </w:r>
                      <w:r w:rsidR="00712F70">
                        <w:t>2</w:t>
                      </w:r>
                      <w:r w:rsidRPr="00FB749D">
                        <w:t xml:space="preserve"> webinars with food aid </w:t>
                      </w:r>
                      <w:r w:rsidR="00712F70">
                        <w:t>providers attended by 58 projects</w:t>
                      </w:r>
                    </w:p>
                    <w:p w14:paraId="54ED6BE3" w14:textId="6DFBF79B" w:rsidR="00064D58" w:rsidRPr="00FB749D" w:rsidRDefault="00712F70" w:rsidP="00FB749D">
                      <w:pPr>
                        <w:pStyle w:val="ListParagraph"/>
                        <w:numPr>
                          <w:ilvl w:val="1"/>
                          <w:numId w:val="16"/>
                        </w:numPr>
                      </w:pPr>
                      <w:r>
                        <w:t>Captured feedback on the toolkit drafts from 15 stakeholders working across the food provision system.</w:t>
                      </w:r>
                      <w:r w:rsidR="00FD25CD" w:rsidRPr="00FB749D">
                        <w:t xml:space="preserve"> </w:t>
                      </w:r>
                    </w:p>
                  </w:txbxContent>
                </v:textbox>
                <w10:wrap type="square" anchorx="margin" anchory="page"/>
              </v:roundrect>
            </w:pict>
          </mc:Fallback>
        </mc:AlternateContent>
      </w:r>
      <w:r w:rsidR="00FB749D">
        <w:rPr>
          <w:noProof/>
          <w:lang w:eastAsia="en-GB"/>
        </w:rPr>
        <w:t>Next steps</w:t>
      </w:r>
    </w:p>
    <w:p w14:paraId="6380026A" w14:textId="2C3F7308" w:rsidR="00FB749D" w:rsidRDefault="00712F70" w:rsidP="00FB749D">
      <w:pPr>
        <w:spacing w:after="120"/>
        <w:rPr>
          <w:noProof/>
          <w:lang w:eastAsia="en-GB"/>
        </w:rPr>
      </w:pPr>
      <w:r>
        <w:rPr>
          <w:noProof/>
          <w:lang w:eastAsia="en-GB"/>
        </w:rPr>
        <w:t xml:space="preserve">The Building Food Resilience Toolkit is part of the cities response to support people back to independence. The toolkit will be introduced to providers in a number of ways, including a final webinar. We are discussing the development of a training programme for food aid providers to reinforce messages from the toolkit. </w:t>
      </w:r>
    </w:p>
    <w:p w14:paraId="73528335" w14:textId="19A5A705" w:rsidR="009F4F4B" w:rsidRDefault="00712F70" w:rsidP="00FB749D">
      <w:pPr>
        <w:spacing w:after="120"/>
        <w:rPr>
          <w:noProof/>
          <w:lang w:eastAsia="en-GB"/>
        </w:rPr>
      </w:pPr>
      <w:r>
        <w:rPr>
          <w:noProof/>
          <w:lang w:eastAsia="en-GB"/>
        </w:rPr>
        <w:t>The learning from the webinars is going to be written up and presented to the Council to encourage the development of a Building Food Resilience vision for the city to move forward from the cities work as part of the Emergency Response to Food during COVID 19.</w:t>
      </w:r>
    </w:p>
    <w:sectPr w:rsidR="009F4F4B" w:rsidSect="00A2107F">
      <w:type w:val="continuous"/>
      <w:pgSz w:w="11906" w:h="16838"/>
      <w:pgMar w:top="993" w:right="720" w:bottom="426" w:left="720" w:header="0" w:footer="4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C0AD4" w14:textId="77777777" w:rsidR="004844BE" w:rsidRDefault="004844BE" w:rsidP="00E53CB3">
      <w:r>
        <w:separator/>
      </w:r>
    </w:p>
  </w:endnote>
  <w:endnote w:type="continuationSeparator" w:id="0">
    <w:p w14:paraId="194A9F06" w14:textId="77777777" w:rsidR="004844BE" w:rsidRDefault="004844BE" w:rsidP="00E5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12C84" w14:textId="54FCF664" w:rsidR="006B6E33" w:rsidRDefault="00A2107F" w:rsidP="006B6E33">
    <w:pPr>
      <w:pStyle w:val="Footer"/>
      <w:rPr>
        <w:color w:val="FF3B3F"/>
      </w:rPr>
    </w:pPr>
    <w:r>
      <w:rPr>
        <w:noProof/>
        <w:lang w:eastAsia="en-GB"/>
      </w:rPr>
      <w:drawing>
        <wp:anchor distT="0" distB="0" distL="114300" distR="114300" simplePos="0" relativeHeight="251657728" behindDoc="0" locked="0" layoutInCell="1" allowOverlap="1" wp14:anchorId="4BD53EC8" wp14:editId="71160B12">
          <wp:simplePos x="0" y="0"/>
          <wp:positionH relativeFrom="margin">
            <wp:posOffset>5171440</wp:posOffset>
          </wp:positionH>
          <wp:positionV relativeFrom="margin">
            <wp:posOffset>9237345</wp:posOffset>
          </wp:positionV>
          <wp:extent cx="1544955" cy="754380"/>
          <wp:effectExtent l="0" t="0" r="0" b="0"/>
          <wp:wrapSquare wrapText="bothSides"/>
          <wp:docPr id="47" name="Picture 47" descr="C:\Users\simon\Dropbox\Food Power Shared Drive\Comms\Logos &amp; images\Logos\CommunityFund.png"/>
          <wp:cNvGraphicFramePr/>
          <a:graphic xmlns:a="http://schemas.openxmlformats.org/drawingml/2006/main">
            <a:graphicData uri="http://schemas.openxmlformats.org/drawingml/2006/picture">
              <pic:pic xmlns:pic="http://schemas.openxmlformats.org/drawingml/2006/picture">
                <pic:nvPicPr>
                  <pic:cNvPr id="5" name="Picture 5" descr="C:\Users\simon\Dropbox\Food Power Shared Drive\Comms\Logos &amp; images\Logos\CommunityFund.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4955" cy="754380"/>
                  </a:xfrm>
                  <a:prstGeom prst="rect">
                    <a:avLst/>
                  </a:prstGeom>
                  <a:noFill/>
                  <a:ln>
                    <a:noFill/>
                  </a:ln>
                </pic:spPr>
              </pic:pic>
            </a:graphicData>
          </a:graphic>
        </wp:anchor>
      </w:drawing>
    </w:r>
    <w:r w:rsidR="006B6E33">
      <w:rPr>
        <w:color w:val="FF3B3F"/>
      </w:rPr>
      <w:t>This activity was assisted by financial support and other advice from Food Power.</w:t>
    </w:r>
  </w:p>
  <w:p w14:paraId="41C5A5E2" w14:textId="5FC99F9B" w:rsidR="006B6E33" w:rsidRPr="00A63EE7" w:rsidRDefault="004844BE" w:rsidP="006B6E33">
    <w:pPr>
      <w:pStyle w:val="Footer"/>
    </w:pPr>
    <w:hyperlink r:id="rId2" w:history="1">
      <w:r w:rsidR="00A63EE7" w:rsidRPr="00A63EE7">
        <w:rPr>
          <w:rStyle w:val="Hyperlink"/>
        </w:rPr>
        <w:t>www.foodpower.org.uk</w:t>
      </w:r>
    </w:hyperlink>
    <w:r w:rsidR="00A63EE7" w:rsidRPr="00A63EE7">
      <w:rPr>
        <w:color w:val="FF3B3F"/>
      </w:rPr>
      <w:t xml:space="preserve"> </w:t>
    </w:r>
  </w:p>
  <w:p w14:paraId="5679B873" w14:textId="77777777" w:rsidR="00062494" w:rsidRPr="006B6E33" w:rsidRDefault="00062494" w:rsidP="006B6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D91E1" w14:textId="77777777" w:rsidR="004844BE" w:rsidRDefault="004844BE" w:rsidP="00E53CB3">
      <w:r>
        <w:separator/>
      </w:r>
    </w:p>
  </w:footnote>
  <w:footnote w:type="continuationSeparator" w:id="0">
    <w:p w14:paraId="2C69E2C8" w14:textId="77777777" w:rsidR="004844BE" w:rsidRDefault="004844BE" w:rsidP="00E53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4D9"/>
    <w:multiLevelType w:val="hybridMultilevel"/>
    <w:tmpl w:val="8A1AA71C"/>
    <w:lvl w:ilvl="0" w:tplc="CBCE23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3384D"/>
    <w:multiLevelType w:val="hybridMultilevel"/>
    <w:tmpl w:val="1BE0BF6E"/>
    <w:lvl w:ilvl="0" w:tplc="FBAEED2A">
      <w:start w:val="1"/>
      <w:numFmt w:val="bullet"/>
      <w:lvlText w:val=""/>
      <w:lvlJc w:val="left"/>
      <w:pPr>
        <w:ind w:left="720" w:hanging="360"/>
      </w:pPr>
      <w:rPr>
        <w:rFonts w:ascii="Symbol" w:hAnsi="Symbol" w:hint="default"/>
        <w:color w:val="FF670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3495"/>
    <w:multiLevelType w:val="hybridMultilevel"/>
    <w:tmpl w:val="EAA2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53F55"/>
    <w:multiLevelType w:val="hybridMultilevel"/>
    <w:tmpl w:val="B7C4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11291"/>
    <w:multiLevelType w:val="hybridMultilevel"/>
    <w:tmpl w:val="CD189CCC"/>
    <w:lvl w:ilvl="0" w:tplc="06AC660C">
      <w:start w:val="1"/>
      <w:numFmt w:val="bullet"/>
      <w:lvlText w:val=""/>
      <w:lvlJc w:val="left"/>
      <w:pPr>
        <w:ind w:left="720" w:hanging="360"/>
      </w:pPr>
      <w:rPr>
        <w:rFonts w:ascii="Symbol" w:hAnsi="Symbol" w:hint="default"/>
        <w:color w:val="FF3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030C7"/>
    <w:multiLevelType w:val="hybridMultilevel"/>
    <w:tmpl w:val="01489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900F81"/>
    <w:multiLevelType w:val="hybridMultilevel"/>
    <w:tmpl w:val="0340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EA326A"/>
    <w:multiLevelType w:val="hybridMultilevel"/>
    <w:tmpl w:val="B3EAAC04"/>
    <w:lvl w:ilvl="0" w:tplc="06AC660C">
      <w:start w:val="1"/>
      <w:numFmt w:val="bullet"/>
      <w:lvlText w:val=""/>
      <w:lvlJc w:val="left"/>
      <w:pPr>
        <w:ind w:left="720" w:hanging="360"/>
      </w:pPr>
      <w:rPr>
        <w:rFonts w:ascii="Symbol" w:hAnsi="Symbol" w:hint="default"/>
        <w:color w:val="FF3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20321"/>
    <w:multiLevelType w:val="hybridMultilevel"/>
    <w:tmpl w:val="61F434D6"/>
    <w:lvl w:ilvl="0" w:tplc="06AC660C">
      <w:start w:val="1"/>
      <w:numFmt w:val="bullet"/>
      <w:lvlText w:val=""/>
      <w:lvlJc w:val="left"/>
      <w:pPr>
        <w:ind w:left="720" w:hanging="360"/>
      </w:pPr>
      <w:rPr>
        <w:rFonts w:ascii="Symbol" w:hAnsi="Symbol" w:hint="default"/>
        <w:color w:val="FF3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35EFE"/>
    <w:multiLevelType w:val="hybridMultilevel"/>
    <w:tmpl w:val="1D02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675ED"/>
    <w:multiLevelType w:val="hybridMultilevel"/>
    <w:tmpl w:val="F36E6A72"/>
    <w:lvl w:ilvl="0" w:tplc="BE6E3C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11CCB"/>
    <w:multiLevelType w:val="hybridMultilevel"/>
    <w:tmpl w:val="A1B0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85209"/>
    <w:multiLevelType w:val="hybridMultilevel"/>
    <w:tmpl w:val="AF722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B70241"/>
    <w:multiLevelType w:val="hybridMultilevel"/>
    <w:tmpl w:val="62C0D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10E88"/>
    <w:multiLevelType w:val="hybridMultilevel"/>
    <w:tmpl w:val="59323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50780C"/>
    <w:multiLevelType w:val="hybridMultilevel"/>
    <w:tmpl w:val="71F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F363E2"/>
    <w:multiLevelType w:val="hybridMultilevel"/>
    <w:tmpl w:val="2884B2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8"/>
  </w:num>
  <w:num w:numId="6">
    <w:abstractNumId w:val="11"/>
  </w:num>
  <w:num w:numId="7">
    <w:abstractNumId w:val="7"/>
  </w:num>
  <w:num w:numId="8">
    <w:abstractNumId w:val="3"/>
  </w:num>
  <w:num w:numId="9">
    <w:abstractNumId w:val="4"/>
  </w:num>
  <w:num w:numId="10">
    <w:abstractNumId w:val="14"/>
  </w:num>
  <w:num w:numId="11">
    <w:abstractNumId w:val="15"/>
  </w:num>
  <w:num w:numId="12">
    <w:abstractNumId w:val="9"/>
  </w:num>
  <w:num w:numId="13">
    <w:abstractNumId w:val="6"/>
  </w:num>
  <w:num w:numId="14">
    <w:abstractNumId w:val="12"/>
  </w:num>
  <w:num w:numId="15">
    <w:abstractNumId w:val="13"/>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E1"/>
    <w:rsid w:val="00000634"/>
    <w:rsid w:val="000021E4"/>
    <w:rsid w:val="00006708"/>
    <w:rsid w:val="00062494"/>
    <w:rsid w:val="00064D58"/>
    <w:rsid w:val="00093597"/>
    <w:rsid w:val="000C2F92"/>
    <w:rsid w:val="000D23D1"/>
    <w:rsid w:val="000D6F4B"/>
    <w:rsid w:val="000F5595"/>
    <w:rsid w:val="001030F2"/>
    <w:rsid w:val="00112187"/>
    <w:rsid w:val="001353E7"/>
    <w:rsid w:val="001A4776"/>
    <w:rsid w:val="001C0F23"/>
    <w:rsid w:val="001D3E0E"/>
    <w:rsid w:val="00230F91"/>
    <w:rsid w:val="00232264"/>
    <w:rsid w:val="00237AB1"/>
    <w:rsid w:val="002771E0"/>
    <w:rsid w:val="002A2D28"/>
    <w:rsid w:val="002E2657"/>
    <w:rsid w:val="002E4B48"/>
    <w:rsid w:val="00341C42"/>
    <w:rsid w:val="00390F9D"/>
    <w:rsid w:val="003C394F"/>
    <w:rsid w:val="003F7101"/>
    <w:rsid w:val="004441A8"/>
    <w:rsid w:val="004844BE"/>
    <w:rsid w:val="004A2788"/>
    <w:rsid w:val="004B625D"/>
    <w:rsid w:val="00524373"/>
    <w:rsid w:val="00570FC5"/>
    <w:rsid w:val="005A7000"/>
    <w:rsid w:val="005B3E76"/>
    <w:rsid w:val="005C7A30"/>
    <w:rsid w:val="005E7F14"/>
    <w:rsid w:val="005F6D95"/>
    <w:rsid w:val="00623493"/>
    <w:rsid w:val="006B6E33"/>
    <w:rsid w:val="006D0202"/>
    <w:rsid w:val="006E56CF"/>
    <w:rsid w:val="006E71B9"/>
    <w:rsid w:val="00712F70"/>
    <w:rsid w:val="00720FB4"/>
    <w:rsid w:val="00730011"/>
    <w:rsid w:val="007371EA"/>
    <w:rsid w:val="0074177A"/>
    <w:rsid w:val="00745C66"/>
    <w:rsid w:val="00753558"/>
    <w:rsid w:val="0076360B"/>
    <w:rsid w:val="00780714"/>
    <w:rsid w:val="007A0D0C"/>
    <w:rsid w:val="007A20C8"/>
    <w:rsid w:val="007E1ACD"/>
    <w:rsid w:val="00814348"/>
    <w:rsid w:val="00820332"/>
    <w:rsid w:val="00821D3C"/>
    <w:rsid w:val="0084087F"/>
    <w:rsid w:val="0084650D"/>
    <w:rsid w:val="00846C74"/>
    <w:rsid w:val="008A0115"/>
    <w:rsid w:val="00947F2F"/>
    <w:rsid w:val="00974119"/>
    <w:rsid w:val="009751B4"/>
    <w:rsid w:val="00991EE2"/>
    <w:rsid w:val="00992B0A"/>
    <w:rsid w:val="009B62D4"/>
    <w:rsid w:val="009D560F"/>
    <w:rsid w:val="009F4F4B"/>
    <w:rsid w:val="00A109C1"/>
    <w:rsid w:val="00A2107F"/>
    <w:rsid w:val="00A24DF6"/>
    <w:rsid w:val="00A322E1"/>
    <w:rsid w:val="00A6263F"/>
    <w:rsid w:val="00A63EE7"/>
    <w:rsid w:val="00A65BDA"/>
    <w:rsid w:val="00A85B94"/>
    <w:rsid w:val="00AD238B"/>
    <w:rsid w:val="00AE2BD5"/>
    <w:rsid w:val="00B12332"/>
    <w:rsid w:val="00B16F0A"/>
    <w:rsid w:val="00B40FCC"/>
    <w:rsid w:val="00B54F1A"/>
    <w:rsid w:val="00B8199D"/>
    <w:rsid w:val="00BA0CCD"/>
    <w:rsid w:val="00C151AA"/>
    <w:rsid w:val="00C3442C"/>
    <w:rsid w:val="00C6013B"/>
    <w:rsid w:val="00C811FF"/>
    <w:rsid w:val="00C87159"/>
    <w:rsid w:val="00CB116E"/>
    <w:rsid w:val="00CB4440"/>
    <w:rsid w:val="00D10C0B"/>
    <w:rsid w:val="00D16070"/>
    <w:rsid w:val="00D16C70"/>
    <w:rsid w:val="00D30410"/>
    <w:rsid w:val="00D43DE1"/>
    <w:rsid w:val="00D51887"/>
    <w:rsid w:val="00D67361"/>
    <w:rsid w:val="00D9232A"/>
    <w:rsid w:val="00DE7A2C"/>
    <w:rsid w:val="00E53CB3"/>
    <w:rsid w:val="00E778E8"/>
    <w:rsid w:val="00E86E3D"/>
    <w:rsid w:val="00EA6100"/>
    <w:rsid w:val="00EC15AB"/>
    <w:rsid w:val="00EF7C79"/>
    <w:rsid w:val="00F4677F"/>
    <w:rsid w:val="00F569DA"/>
    <w:rsid w:val="00F81BB6"/>
    <w:rsid w:val="00FA321A"/>
    <w:rsid w:val="00FB749D"/>
    <w:rsid w:val="00FC4765"/>
    <w:rsid w:val="00FD25CD"/>
    <w:rsid w:val="00FE6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D80E6"/>
  <w15:docId w15:val="{1AD622D6-9486-4D0A-81B5-65B9BC0C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CB3"/>
    <w:pPr>
      <w:spacing w:after="0" w:line="240" w:lineRule="auto"/>
    </w:pPr>
    <w:rPr>
      <w:rFonts w:cstheme="minorHAnsi"/>
    </w:rPr>
  </w:style>
  <w:style w:type="paragraph" w:styleId="Heading1">
    <w:name w:val="heading 1"/>
    <w:basedOn w:val="Normal"/>
    <w:next w:val="Normal"/>
    <w:link w:val="Heading1Char"/>
    <w:uiPriority w:val="9"/>
    <w:qFormat/>
    <w:rsid w:val="00AE2BD5"/>
    <w:pPr>
      <w:outlineLvl w:val="0"/>
    </w:pPr>
    <w:rPr>
      <w:b/>
      <w:color w:val="FF3B3F"/>
      <w:spacing w:val="-20"/>
      <w:sz w:val="52"/>
      <w:szCs w:val="52"/>
    </w:rPr>
  </w:style>
  <w:style w:type="paragraph" w:styleId="Heading2">
    <w:name w:val="heading 2"/>
    <w:basedOn w:val="Heading1"/>
    <w:next w:val="Normal"/>
    <w:link w:val="Heading2Char"/>
    <w:uiPriority w:val="9"/>
    <w:unhideWhenUsed/>
    <w:qFormat/>
    <w:rsid w:val="00E53CB3"/>
    <w:pPr>
      <w:spacing w:after="240"/>
      <w:outlineLvl w:val="1"/>
    </w:pPr>
    <w:rPr>
      <w:color w:val="404040" w:themeColor="text1" w:themeTint="BF"/>
      <w:spacing w:val="-1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1E0"/>
    <w:pPr>
      <w:ind w:left="720"/>
      <w:contextualSpacing/>
    </w:pPr>
  </w:style>
  <w:style w:type="paragraph" w:styleId="Header">
    <w:name w:val="header"/>
    <w:basedOn w:val="Normal"/>
    <w:link w:val="HeaderChar"/>
    <w:uiPriority w:val="99"/>
    <w:unhideWhenUsed/>
    <w:rsid w:val="00E86E3D"/>
    <w:pPr>
      <w:tabs>
        <w:tab w:val="center" w:pos="4513"/>
        <w:tab w:val="right" w:pos="9026"/>
      </w:tabs>
    </w:pPr>
  </w:style>
  <w:style w:type="character" w:customStyle="1" w:styleId="HeaderChar">
    <w:name w:val="Header Char"/>
    <w:basedOn w:val="DefaultParagraphFont"/>
    <w:link w:val="Header"/>
    <w:uiPriority w:val="99"/>
    <w:rsid w:val="00E86E3D"/>
  </w:style>
  <w:style w:type="paragraph" w:styleId="Footer">
    <w:name w:val="footer"/>
    <w:basedOn w:val="Normal"/>
    <w:link w:val="FooterChar"/>
    <w:uiPriority w:val="99"/>
    <w:unhideWhenUsed/>
    <w:rsid w:val="00E86E3D"/>
    <w:pPr>
      <w:tabs>
        <w:tab w:val="center" w:pos="4513"/>
        <w:tab w:val="right" w:pos="9026"/>
      </w:tabs>
    </w:pPr>
  </w:style>
  <w:style w:type="character" w:customStyle="1" w:styleId="FooterChar">
    <w:name w:val="Footer Char"/>
    <w:basedOn w:val="DefaultParagraphFont"/>
    <w:link w:val="Footer"/>
    <w:uiPriority w:val="99"/>
    <w:rsid w:val="00E86E3D"/>
  </w:style>
  <w:style w:type="paragraph" w:styleId="BalloonText">
    <w:name w:val="Balloon Text"/>
    <w:basedOn w:val="Normal"/>
    <w:link w:val="BalloonTextChar"/>
    <w:uiPriority w:val="99"/>
    <w:semiHidden/>
    <w:unhideWhenUsed/>
    <w:rsid w:val="00237AB1"/>
    <w:rPr>
      <w:rFonts w:ascii="Tahoma" w:hAnsi="Tahoma" w:cs="Tahoma"/>
      <w:sz w:val="16"/>
      <w:szCs w:val="16"/>
    </w:rPr>
  </w:style>
  <w:style w:type="character" w:customStyle="1" w:styleId="BalloonTextChar">
    <w:name w:val="Balloon Text Char"/>
    <w:basedOn w:val="DefaultParagraphFont"/>
    <w:link w:val="BalloonText"/>
    <w:uiPriority w:val="99"/>
    <w:semiHidden/>
    <w:rsid w:val="00237AB1"/>
    <w:rPr>
      <w:rFonts w:ascii="Tahoma" w:hAnsi="Tahoma" w:cs="Tahoma"/>
      <w:sz w:val="16"/>
      <w:szCs w:val="16"/>
    </w:rPr>
  </w:style>
  <w:style w:type="table" w:styleId="TableGrid">
    <w:name w:val="Table Grid"/>
    <w:basedOn w:val="TableNormal"/>
    <w:uiPriority w:val="59"/>
    <w:rsid w:val="0023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77F"/>
    <w:rPr>
      <w:color w:val="0000FF" w:themeColor="hyperlink"/>
      <w:u w:val="single"/>
    </w:rPr>
  </w:style>
  <w:style w:type="character" w:customStyle="1" w:styleId="Heading1Char">
    <w:name w:val="Heading 1 Char"/>
    <w:basedOn w:val="DefaultParagraphFont"/>
    <w:link w:val="Heading1"/>
    <w:uiPriority w:val="9"/>
    <w:rsid w:val="00AE2BD5"/>
    <w:rPr>
      <w:rFonts w:cstheme="minorHAnsi"/>
      <w:b/>
      <w:color w:val="FF3B3F"/>
      <w:spacing w:val="-20"/>
      <w:sz w:val="52"/>
      <w:szCs w:val="52"/>
    </w:rPr>
  </w:style>
  <w:style w:type="character" w:customStyle="1" w:styleId="Heading2Char">
    <w:name w:val="Heading 2 Char"/>
    <w:basedOn w:val="DefaultParagraphFont"/>
    <w:link w:val="Heading2"/>
    <w:uiPriority w:val="9"/>
    <w:rsid w:val="00E53CB3"/>
    <w:rPr>
      <w:rFonts w:cstheme="minorHAnsi"/>
      <w:b/>
      <w:color w:val="404040" w:themeColor="text1" w:themeTint="BF"/>
      <w:spacing w:val="-10"/>
      <w:sz w:val="36"/>
      <w:szCs w:val="36"/>
    </w:rPr>
  </w:style>
  <w:style w:type="character" w:styleId="CommentReference">
    <w:name w:val="annotation reference"/>
    <w:basedOn w:val="DefaultParagraphFont"/>
    <w:uiPriority w:val="99"/>
    <w:semiHidden/>
    <w:unhideWhenUsed/>
    <w:rsid w:val="00FD25CD"/>
    <w:rPr>
      <w:sz w:val="16"/>
      <w:szCs w:val="16"/>
    </w:rPr>
  </w:style>
  <w:style w:type="paragraph" w:styleId="CommentText">
    <w:name w:val="annotation text"/>
    <w:basedOn w:val="Normal"/>
    <w:link w:val="CommentTextChar"/>
    <w:uiPriority w:val="99"/>
    <w:semiHidden/>
    <w:unhideWhenUsed/>
    <w:rsid w:val="00FD25CD"/>
    <w:rPr>
      <w:sz w:val="20"/>
      <w:szCs w:val="20"/>
    </w:rPr>
  </w:style>
  <w:style w:type="character" w:customStyle="1" w:styleId="CommentTextChar">
    <w:name w:val="Comment Text Char"/>
    <w:basedOn w:val="DefaultParagraphFont"/>
    <w:link w:val="CommentText"/>
    <w:uiPriority w:val="99"/>
    <w:semiHidden/>
    <w:rsid w:val="00FD25CD"/>
    <w:rPr>
      <w:rFonts w:cstheme="minorHAnsi"/>
      <w:sz w:val="20"/>
      <w:szCs w:val="20"/>
    </w:rPr>
  </w:style>
  <w:style w:type="paragraph" w:styleId="CommentSubject">
    <w:name w:val="annotation subject"/>
    <w:basedOn w:val="CommentText"/>
    <w:next w:val="CommentText"/>
    <w:link w:val="CommentSubjectChar"/>
    <w:uiPriority w:val="99"/>
    <w:semiHidden/>
    <w:unhideWhenUsed/>
    <w:rsid w:val="00FD25CD"/>
    <w:rPr>
      <w:b/>
      <w:bCs/>
    </w:rPr>
  </w:style>
  <w:style w:type="character" w:customStyle="1" w:styleId="CommentSubjectChar">
    <w:name w:val="Comment Subject Char"/>
    <w:basedOn w:val="CommentTextChar"/>
    <w:link w:val="CommentSubject"/>
    <w:uiPriority w:val="99"/>
    <w:semiHidden/>
    <w:rsid w:val="00FD25CD"/>
    <w:rPr>
      <w:rFonts w:cstheme="minorHAnsi"/>
      <w:b/>
      <w:bCs/>
      <w:sz w:val="20"/>
      <w:szCs w:val="20"/>
    </w:rPr>
  </w:style>
  <w:style w:type="character" w:styleId="UnresolvedMention">
    <w:name w:val="Unresolved Mention"/>
    <w:basedOn w:val="DefaultParagraphFont"/>
    <w:uiPriority w:val="99"/>
    <w:semiHidden/>
    <w:unhideWhenUsed/>
    <w:rsid w:val="00763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odwiseleeds.org/food-resilien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oodpower.org.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n.ida-PC\Desktop\Suga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7FF0A6A9ACCF4294A4D145F7636654" ma:contentTypeVersion="13" ma:contentTypeDescription="Create a new document." ma:contentTypeScope="" ma:versionID="6c50118d633f152575ac8e767b31c68a">
  <xsd:schema xmlns:xsd="http://www.w3.org/2001/XMLSchema" xmlns:xs="http://www.w3.org/2001/XMLSchema" xmlns:p="http://schemas.microsoft.com/office/2006/metadata/properties" xmlns:ns2="449ff1e4-b618-47ee-852c-72d69d563a5e" xmlns:ns3="d7141c57-0004-43f4-9aa0-79b62ce4a739" targetNamespace="http://schemas.microsoft.com/office/2006/metadata/properties" ma:root="true" ma:fieldsID="3d78dc1564cc6e9f1da9edf4209dc80c" ns2:_="" ns3:_="">
    <xsd:import namespace="449ff1e4-b618-47ee-852c-72d69d563a5e"/>
    <xsd:import namespace="d7141c57-0004-43f4-9aa0-79b62ce4a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f1e4-b618-47ee-852c-72d69d56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41c57-0004-43f4-9aa0-79b62ce4a7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5BB60-5E2B-CB4C-8ED4-9DF5AD82B06F}">
  <ds:schemaRefs>
    <ds:schemaRef ds:uri="http://schemas.openxmlformats.org/officeDocument/2006/bibliography"/>
  </ds:schemaRefs>
</ds:datastoreItem>
</file>

<file path=customXml/itemProps2.xml><?xml version="1.0" encoding="utf-8"?>
<ds:datastoreItem xmlns:ds="http://schemas.openxmlformats.org/officeDocument/2006/customXml" ds:itemID="{78710818-54A2-4EC4-924A-D57BF32EB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f1e4-b618-47ee-852c-72d69d563a5e"/>
    <ds:schemaRef ds:uri="d7141c57-0004-43f4-9aa0-79b62ce4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E2742-3A32-4FD5-B724-88E86681A6C6}">
  <ds:schemaRefs>
    <ds:schemaRef ds:uri="http://schemas.microsoft.com/sharepoint/v3/contenttype/forms"/>
  </ds:schemaRefs>
</ds:datastoreItem>
</file>

<file path=customXml/itemProps4.xml><?xml version="1.0" encoding="utf-8"?>
<ds:datastoreItem xmlns:ds="http://schemas.openxmlformats.org/officeDocument/2006/customXml" ds:itemID="{C52C827A-8565-4BA5-9F7C-EA8B9B6120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SugarTemplate.dotx</Template>
  <TotalTime>49</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Strachan, Emma</cp:lastModifiedBy>
  <cp:revision>3</cp:revision>
  <cp:lastPrinted>2020-11-26T17:53:00Z</cp:lastPrinted>
  <dcterms:created xsi:type="dcterms:W3CDTF">2021-05-27T07:50:00Z</dcterms:created>
  <dcterms:modified xsi:type="dcterms:W3CDTF">2021-05-27T08:45:00Z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0x010100B57FF0A6A9ACCF4294A4D145F7636654</vt:lpwstr>
  </property>
</Properties>
</file>