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E57A" w14:textId="77777777" w:rsidR="007A34E0" w:rsidRPr="00843233" w:rsidRDefault="007A34E0" w:rsidP="007A34E0">
      <w:pPr>
        <w:rPr>
          <w:rFonts w:cs="Calibri"/>
        </w:rPr>
      </w:pPr>
    </w:p>
    <w:p w14:paraId="49544A18" w14:textId="434A02EE" w:rsidR="007A34E0" w:rsidRPr="002E1503" w:rsidRDefault="007A34E0" w:rsidP="007A34E0">
      <w:pPr>
        <w:rPr>
          <w:rFonts w:asciiTheme="minorHAnsi" w:hAnsiTheme="minorHAnsi" w:cstheme="minorHAnsi"/>
        </w:rPr>
      </w:pPr>
    </w:p>
    <w:p w14:paraId="58257D47" w14:textId="77777777" w:rsidR="007A34E0" w:rsidRPr="00DD473D" w:rsidRDefault="007A34E0" w:rsidP="007A34E0">
      <w:pPr>
        <w:rPr>
          <w:rFonts w:ascii="Arial" w:hAnsi="Arial" w:cs="Arial"/>
        </w:rPr>
      </w:pPr>
    </w:p>
    <w:p w14:paraId="1746ABC1" w14:textId="0EA38585" w:rsidR="007A34E0" w:rsidRPr="00DD473D" w:rsidRDefault="007A34E0" w:rsidP="007A34E0">
      <w:pPr>
        <w:ind w:left="6480"/>
        <w:rPr>
          <w:rFonts w:ascii="Arial" w:hAnsi="Arial" w:cs="Arial"/>
          <w:sz w:val="24"/>
          <w:szCs w:val="24"/>
        </w:rPr>
      </w:pPr>
      <w:r w:rsidRPr="00DD473D">
        <w:rPr>
          <w:rFonts w:ascii="Arial" w:hAnsi="Arial" w:cs="Arial"/>
          <w:sz w:val="24"/>
          <w:szCs w:val="24"/>
        </w:rPr>
        <w:t>Letter head and contact details for GP practice</w:t>
      </w:r>
    </w:p>
    <w:p w14:paraId="43C4A1C9" w14:textId="0231FC7A" w:rsidR="007A34E0" w:rsidRPr="00DD473D" w:rsidRDefault="002E1503" w:rsidP="007A34E0">
      <w:pPr>
        <w:rPr>
          <w:rFonts w:ascii="Arial" w:hAnsi="Arial" w:cs="Arial"/>
          <w:sz w:val="24"/>
          <w:szCs w:val="24"/>
        </w:rPr>
      </w:pP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p>
    <w:p w14:paraId="78739D3E" w14:textId="719D606D" w:rsidR="002E1503" w:rsidRPr="00DD473D" w:rsidRDefault="002E1503" w:rsidP="007A34E0">
      <w:pPr>
        <w:rPr>
          <w:rFonts w:ascii="Arial" w:hAnsi="Arial" w:cs="Arial"/>
          <w:sz w:val="24"/>
          <w:szCs w:val="24"/>
        </w:rPr>
      </w:pP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r>
      <w:r w:rsidRPr="00DD473D">
        <w:rPr>
          <w:rFonts w:ascii="Arial" w:hAnsi="Arial" w:cs="Arial"/>
          <w:sz w:val="24"/>
          <w:szCs w:val="24"/>
        </w:rPr>
        <w:tab/>
        <w:t>Date</w:t>
      </w:r>
    </w:p>
    <w:p w14:paraId="5849BC92" w14:textId="77777777" w:rsidR="007A34E0" w:rsidRPr="00DD473D" w:rsidRDefault="007A34E0" w:rsidP="007A34E0">
      <w:pPr>
        <w:rPr>
          <w:rFonts w:ascii="Arial" w:hAnsi="Arial" w:cs="Arial"/>
          <w:sz w:val="24"/>
          <w:szCs w:val="24"/>
        </w:rPr>
      </w:pPr>
    </w:p>
    <w:p w14:paraId="41AB4D37" w14:textId="697F6B71" w:rsidR="007A34E0" w:rsidRPr="00DD473D" w:rsidRDefault="007A34E0" w:rsidP="007A34E0">
      <w:pPr>
        <w:rPr>
          <w:rFonts w:ascii="Arial" w:hAnsi="Arial" w:cs="Arial"/>
          <w:sz w:val="24"/>
          <w:szCs w:val="24"/>
        </w:rPr>
      </w:pPr>
      <w:r w:rsidRPr="00DD473D">
        <w:rPr>
          <w:rFonts w:ascii="Arial" w:hAnsi="Arial" w:cs="Arial"/>
          <w:sz w:val="24"/>
          <w:szCs w:val="24"/>
        </w:rPr>
        <w:t xml:space="preserve">Dear patient, solicitor or </w:t>
      </w:r>
      <w:proofErr w:type="gramStart"/>
      <w:r w:rsidRPr="00DD473D">
        <w:rPr>
          <w:rFonts w:ascii="Arial" w:hAnsi="Arial" w:cs="Arial"/>
          <w:sz w:val="24"/>
          <w:szCs w:val="24"/>
        </w:rPr>
        <w:t>other</w:t>
      </w:r>
      <w:proofErr w:type="gramEnd"/>
      <w:r w:rsidRPr="00DD473D">
        <w:rPr>
          <w:rFonts w:ascii="Arial" w:hAnsi="Arial" w:cs="Arial"/>
          <w:sz w:val="24"/>
          <w:szCs w:val="24"/>
        </w:rPr>
        <w:t xml:space="preserve"> advocate,</w:t>
      </w:r>
    </w:p>
    <w:p w14:paraId="63BE104B" w14:textId="77777777" w:rsidR="007A34E0" w:rsidRPr="00DD473D" w:rsidRDefault="007A34E0" w:rsidP="007A34E0">
      <w:pPr>
        <w:tabs>
          <w:tab w:val="left" w:pos="7530"/>
        </w:tabs>
        <w:rPr>
          <w:rFonts w:ascii="Arial" w:hAnsi="Arial" w:cs="Arial"/>
          <w:sz w:val="24"/>
          <w:szCs w:val="24"/>
        </w:rPr>
      </w:pPr>
    </w:p>
    <w:p w14:paraId="0D83FADF" w14:textId="77777777" w:rsidR="007A34E0" w:rsidRPr="00DD473D" w:rsidRDefault="007A34E0" w:rsidP="007A34E0">
      <w:pPr>
        <w:tabs>
          <w:tab w:val="left" w:pos="7530"/>
        </w:tabs>
        <w:rPr>
          <w:rFonts w:ascii="Arial" w:hAnsi="Arial" w:cs="Arial"/>
          <w:sz w:val="24"/>
          <w:szCs w:val="24"/>
        </w:rPr>
      </w:pPr>
      <w:r w:rsidRPr="00DD473D">
        <w:rPr>
          <w:rFonts w:ascii="Arial" w:hAnsi="Arial" w:cs="Arial"/>
          <w:sz w:val="24"/>
          <w:szCs w:val="24"/>
        </w:rPr>
        <w:t xml:space="preserve">Re:                  </w:t>
      </w:r>
    </w:p>
    <w:p w14:paraId="1B3BE686" w14:textId="77777777" w:rsidR="007A34E0" w:rsidRPr="00DD473D" w:rsidRDefault="007A34E0" w:rsidP="007A34E0">
      <w:pPr>
        <w:tabs>
          <w:tab w:val="left" w:pos="7530"/>
        </w:tabs>
        <w:rPr>
          <w:rFonts w:ascii="Arial" w:hAnsi="Arial" w:cs="Arial"/>
          <w:sz w:val="24"/>
          <w:szCs w:val="24"/>
        </w:rPr>
      </w:pPr>
      <w:r w:rsidRPr="00DD473D">
        <w:rPr>
          <w:rFonts w:ascii="Arial" w:hAnsi="Arial" w:cs="Arial"/>
          <w:sz w:val="24"/>
          <w:szCs w:val="24"/>
        </w:rPr>
        <w:t xml:space="preserve">DOB: </w:t>
      </w:r>
    </w:p>
    <w:p w14:paraId="64076E48" w14:textId="77777777" w:rsidR="007A34E0" w:rsidRPr="00DD473D" w:rsidRDefault="007A34E0" w:rsidP="007A34E0">
      <w:pPr>
        <w:tabs>
          <w:tab w:val="left" w:pos="7530"/>
        </w:tabs>
        <w:rPr>
          <w:rFonts w:ascii="Arial" w:hAnsi="Arial" w:cs="Arial"/>
          <w:sz w:val="24"/>
          <w:szCs w:val="24"/>
        </w:rPr>
      </w:pPr>
      <w:r w:rsidRPr="00DD473D">
        <w:rPr>
          <w:rFonts w:ascii="Arial" w:hAnsi="Arial" w:cs="Arial"/>
          <w:sz w:val="24"/>
          <w:szCs w:val="24"/>
        </w:rPr>
        <w:t>NHS number:</w:t>
      </w:r>
      <w:r w:rsidRPr="00DD473D">
        <w:rPr>
          <w:rFonts w:ascii="Arial" w:hAnsi="Arial" w:cs="Arial"/>
          <w:sz w:val="24"/>
          <w:szCs w:val="24"/>
        </w:rPr>
        <w:tab/>
      </w:r>
    </w:p>
    <w:p w14:paraId="5FB807C5" w14:textId="77777777" w:rsidR="00DB65F2" w:rsidRPr="00DD473D" w:rsidRDefault="00DB65F2" w:rsidP="00513D3F">
      <w:pPr>
        <w:jc w:val="center"/>
        <w:rPr>
          <w:rFonts w:ascii="Arial" w:hAnsi="Arial" w:cs="Arial"/>
          <w:b/>
          <w:bCs/>
          <w:sz w:val="28"/>
          <w:szCs w:val="28"/>
        </w:rPr>
      </w:pPr>
    </w:p>
    <w:p w14:paraId="7DC3CB29" w14:textId="523894F9" w:rsidR="00513D3F" w:rsidRPr="00DD473D" w:rsidRDefault="00513D3F" w:rsidP="00513D3F">
      <w:pPr>
        <w:jc w:val="center"/>
        <w:rPr>
          <w:rFonts w:ascii="Arial" w:hAnsi="Arial" w:cs="Arial"/>
          <w:b/>
          <w:bCs/>
          <w:sz w:val="28"/>
          <w:szCs w:val="28"/>
        </w:rPr>
      </w:pPr>
      <w:r w:rsidRPr="00DD473D">
        <w:rPr>
          <w:rFonts w:ascii="Arial" w:hAnsi="Arial" w:cs="Arial"/>
          <w:b/>
          <w:bCs/>
          <w:sz w:val="28"/>
          <w:szCs w:val="28"/>
        </w:rPr>
        <w:t xml:space="preserve">Essential </w:t>
      </w:r>
      <w:r w:rsidR="00DB65F2" w:rsidRPr="00DD473D">
        <w:rPr>
          <w:rFonts w:ascii="Arial" w:hAnsi="Arial" w:cs="Arial"/>
          <w:b/>
          <w:bCs/>
          <w:sz w:val="28"/>
          <w:szCs w:val="28"/>
        </w:rPr>
        <w:t xml:space="preserve">information </w:t>
      </w:r>
      <w:r w:rsidRPr="00DD473D">
        <w:rPr>
          <w:rFonts w:ascii="Arial" w:hAnsi="Arial" w:cs="Arial"/>
          <w:b/>
          <w:bCs/>
          <w:sz w:val="28"/>
          <w:szCs w:val="28"/>
        </w:rPr>
        <w:t>for use of GP records in relation to asylum claims</w:t>
      </w:r>
    </w:p>
    <w:p w14:paraId="0C1EA490" w14:textId="77777777" w:rsidR="007A34E0" w:rsidRPr="00DD473D" w:rsidRDefault="007A34E0" w:rsidP="007A34E0">
      <w:pPr>
        <w:tabs>
          <w:tab w:val="left" w:pos="7530"/>
        </w:tabs>
        <w:rPr>
          <w:rFonts w:ascii="Arial" w:hAnsi="Arial" w:cs="Arial"/>
          <w:noProof/>
          <w:sz w:val="24"/>
          <w:szCs w:val="24"/>
          <w:lang w:eastAsia="en-GB"/>
        </w:rPr>
      </w:pPr>
    </w:p>
    <w:p w14:paraId="0E9BEB14" w14:textId="77777777" w:rsidR="007A34E0" w:rsidRPr="00DD473D" w:rsidRDefault="007A34E0" w:rsidP="007A34E0">
      <w:pPr>
        <w:rPr>
          <w:rFonts w:ascii="Arial" w:hAnsi="Arial" w:cs="Arial"/>
          <w:sz w:val="24"/>
          <w:szCs w:val="24"/>
        </w:rPr>
      </w:pPr>
      <w:r w:rsidRPr="00DD473D">
        <w:rPr>
          <w:rFonts w:ascii="Arial" w:hAnsi="Arial" w:cs="Arial"/>
          <w:b/>
          <w:bCs/>
          <w:sz w:val="24"/>
          <w:szCs w:val="24"/>
        </w:rPr>
        <w:t>Release of GP records:</w:t>
      </w:r>
      <w:r w:rsidRPr="00DD473D">
        <w:rPr>
          <w:rFonts w:ascii="Arial" w:hAnsi="Arial" w:cs="Arial"/>
          <w:sz w:val="24"/>
          <w:szCs w:val="24"/>
        </w:rPr>
        <w:t xml:space="preserve"> </w:t>
      </w:r>
    </w:p>
    <w:p w14:paraId="0E960BAD" w14:textId="3435D41E" w:rsidR="007A34E0" w:rsidRPr="00DD473D" w:rsidRDefault="007A34E0" w:rsidP="007A34E0">
      <w:pPr>
        <w:rPr>
          <w:rFonts w:ascii="Arial" w:hAnsi="Arial" w:cs="Arial"/>
          <w:sz w:val="24"/>
          <w:szCs w:val="24"/>
        </w:rPr>
      </w:pPr>
      <w:r w:rsidRPr="00DD473D">
        <w:rPr>
          <w:rFonts w:ascii="Arial" w:hAnsi="Arial" w:cs="Arial"/>
          <w:sz w:val="24"/>
          <w:szCs w:val="24"/>
        </w:rPr>
        <w:t>The above-named patient has consented to the release of their entire GP medical reco</w:t>
      </w:r>
      <w:r w:rsidR="00513D3F" w:rsidRPr="00DD473D">
        <w:rPr>
          <w:rFonts w:ascii="Arial" w:hAnsi="Arial" w:cs="Arial"/>
          <w:sz w:val="24"/>
          <w:szCs w:val="24"/>
        </w:rPr>
        <w:t>rd.</w:t>
      </w:r>
      <w:r w:rsidRPr="00DD473D">
        <w:rPr>
          <w:rFonts w:ascii="Arial" w:hAnsi="Arial" w:cs="Arial"/>
          <w:sz w:val="24"/>
          <w:szCs w:val="24"/>
        </w:rPr>
        <w:t xml:space="preserve"> References to third parties should have been removed.</w:t>
      </w:r>
    </w:p>
    <w:p w14:paraId="2D4AA22C" w14:textId="77777777" w:rsidR="007A34E0" w:rsidRPr="00DD473D" w:rsidRDefault="007A34E0" w:rsidP="007A34E0">
      <w:pPr>
        <w:tabs>
          <w:tab w:val="left" w:pos="7530"/>
        </w:tabs>
        <w:rPr>
          <w:rFonts w:ascii="Arial" w:hAnsi="Arial" w:cs="Arial"/>
          <w:b/>
          <w:bCs/>
          <w:sz w:val="24"/>
          <w:szCs w:val="24"/>
        </w:rPr>
      </w:pPr>
    </w:p>
    <w:p w14:paraId="233C3FE9" w14:textId="77777777" w:rsidR="007A34E0" w:rsidRPr="00DD473D" w:rsidRDefault="007A34E0" w:rsidP="007A34E0">
      <w:pPr>
        <w:tabs>
          <w:tab w:val="left" w:pos="7530"/>
        </w:tabs>
        <w:rPr>
          <w:rFonts w:ascii="Arial" w:hAnsi="Arial" w:cs="Arial"/>
          <w:b/>
          <w:bCs/>
          <w:noProof/>
          <w:sz w:val="24"/>
          <w:szCs w:val="24"/>
          <w:lang w:eastAsia="en-GB"/>
        </w:rPr>
      </w:pPr>
      <w:r w:rsidRPr="00DD473D">
        <w:rPr>
          <w:rFonts w:ascii="Arial" w:hAnsi="Arial" w:cs="Arial"/>
          <w:b/>
          <w:bCs/>
          <w:noProof/>
          <w:sz w:val="24"/>
          <w:szCs w:val="24"/>
          <w:lang w:eastAsia="en-GB"/>
        </w:rPr>
        <w:t>Use of GP records in asylum claims:</w:t>
      </w:r>
    </w:p>
    <w:p w14:paraId="596CA3E3" w14:textId="77777777" w:rsidR="007A34E0" w:rsidRPr="00DD473D" w:rsidRDefault="007A34E0" w:rsidP="007A34E0">
      <w:pPr>
        <w:tabs>
          <w:tab w:val="left" w:pos="7530"/>
        </w:tabs>
        <w:rPr>
          <w:rFonts w:ascii="Arial" w:hAnsi="Arial" w:cs="Arial"/>
          <w:noProof/>
          <w:sz w:val="24"/>
          <w:szCs w:val="24"/>
          <w:lang w:eastAsia="en-GB"/>
        </w:rPr>
      </w:pPr>
      <w:r w:rsidRPr="00DD473D">
        <w:rPr>
          <w:rFonts w:ascii="Arial" w:hAnsi="Arial" w:cs="Arial"/>
          <w:noProof/>
          <w:sz w:val="24"/>
          <w:szCs w:val="24"/>
          <w:lang w:eastAsia="en-GB"/>
        </w:rPr>
        <w:t>We are aware that GP records are increasingly being used in asylum claims instead of medico-legal reports and formal letters.</w:t>
      </w:r>
    </w:p>
    <w:p w14:paraId="37D817ED" w14:textId="11B897CC" w:rsidR="007A34E0" w:rsidRPr="00DD473D" w:rsidRDefault="007A34E0" w:rsidP="007A34E0">
      <w:pPr>
        <w:rPr>
          <w:rFonts w:ascii="Arial" w:hAnsi="Arial" w:cs="Arial"/>
          <w:sz w:val="24"/>
          <w:szCs w:val="24"/>
        </w:rPr>
      </w:pPr>
      <w:r w:rsidRPr="00DD473D">
        <w:rPr>
          <w:rFonts w:ascii="Arial" w:hAnsi="Arial" w:cs="Arial"/>
          <w:sz w:val="24"/>
          <w:szCs w:val="24"/>
        </w:rPr>
        <w:t>When using GP records in asylum claims</w:t>
      </w:r>
      <w:r w:rsidR="00E62959" w:rsidRPr="00DD473D">
        <w:rPr>
          <w:rFonts w:ascii="Arial" w:hAnsi="Arial" w:cs="Arial"/>
          <w:sz w:val="24"/>
          <w:szCs w:val="24"/>
        </w:rPr>
        <w:t>,</w:t>
      </w:r>
      <w:r w:rsidRPr="00DD473D">
        <w:rPr>
          <w:rFonts w:ascii="Arial" w:hAnsi="Arial" w:cs="Arial"/>
          <w:sz w:val="24"/>
          <w:szCs w:val="24"/>
        </w:rPr>
        <w:t xml:space="preserve"> as evidence of past heath and healthcare, it is important to take into account their nature and limitations.  </w:t>
      </w:r>
      <w:r w:rsidR="00E62959" w:rsidRPr="00DD473D">
        <w:rPr>
          <w:rFonts w:ascii="Arial" w:hAnsi="Arial" w:cs="Arial"/>
          <w:sz w:val="24"/>
          <w:szCs w:val="24"/>
        </w:rPr>
        <w:t xml:space="preserve">The purpose of a </w:t>
      </w:r>
      <w:r w:rsidRPr="00DD473D">
        <w:rPr>
          <w:rFonts w:ascii="Arial" w:hAnsi="Arial" w:cs="Arial"/>
          <w:sz w:val="24"/>
          <w:szCs w:val="24"/>
        </w:rPr>
        <w:t xml:space="preserve">GP record is </w:t>
      </w:r>
      <w:r w:rsidR="00E62959" w:rsidRPr="00DD473D">
        <w:rPr>
          <w:rFonts w:ascii="Arial" w:hAnsi="Arial" w:cs="Arial"/>
          <w:sz w:val="24"/>
          <w:szCs w:val="24"/>
        </w:rPr>
        <w:t>to record</w:t>
      </w:r>
      <w:r w:rsidRPr="00DD473D">
        <w:rPr>
          <w:rFonts w:ascii="Arial" w:hAnsi="Arial" w:cs="Arial"/>
          <w:sz w:val="24"/>
          <w:szCs w:val="24"/>
        </w:rPr>
        <w:t xml:space="preserve"> health and health interventions and for clinicians and others to communicate with one another. In recent years, the GP record has become  complex with entries from multiple GP services, primary care team members (not just clinicians) and other services. They are not written with a view to the record being </w:t>
      </w:r>
      <w:r w:rsidR="00DB37BD" w:rsidRPr="00DD473D">
        <w:rPr>
          <w:rFonts w:ascii="Arial" w:hAnsi="Arial" w:cs="Arial"/>
          <w:sz w:val="24"/>
          <w:szCs w:val="24"/>
        </w:rPr>
        <w:t>used as evidence</w:t>
      </w:r>
      <w:r w:rsidRPr="00DD473D">
        <w:rPr>
          <w:rFonts w:ascii="Arial" w:hAnsi="Arial" w:cs="Arial"/>
          <w:sz w:val="24"/>
          <w:szCs w:val="24"/>
        </w:rPr>
        <w:t xml:space="preserve"> in medico-legal situations. It is important to be aware  of the following points, which may vary across different GP practices</w:t>
      </w:r>
      <w:r w:rsidR="004E4D53" w:rsidRPr="00DD473D">
        <w:rPr>
          <w:rFonts w:ascii="Arial" w:hAnsi="Arial" w:cs="Arial"/>
          <w:sz w:val="24"/>
          <w:szCs w:val="24"/>
        </w:rPr>
        <w:t>:</w:t>
      </w:r>
    </w:p>
    <w:p w14:paraId="350A574A" w14:textId="77777777" w:rsidR="007A34E0" w:rsidRPr="00DD473D" w:rsidRDefault="007A34E0" w:rsidP="007A34E0">
      <w:pPr>
        <w:rPr>
          <w:rFonts w:ascii="Arial" w:hAnsi="Arial" w:cs="Arial"/>
          <w:sz w:val="24"/>
          <w:szCs w:val="24"/>
        </w:rPr>
      </w:pPr>
    </w:p>
    <w:p w14:paraId="68C38D38" w14:textId="77777777" w:rsidR="007A34E0" w:rsidRPr="00DD473D" w:rsidRDefault="007A34E0"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lastRenderedPageBreak/>
        <w:t>Attendance.</w:t>
      </w:r>
      <w:r w:rsidRPr="00DD473D">
        <w:rPr>
          <w:rFonts w:ascii="Arial" w:hAnsi="Arial" w:cs="Arial"/>
          <w:sz w:val="24"/>
          <w:szCs w:val="24"/>
        </w:rPr>
        <w:t xml:space="preserve"> Not all patients make use of their GP service. This can be for many reasons including lack of awareness about health and what can be offered, lack of assertiveness trying to get appointments, fearfulness and lack of trust. Some clinicians are confident in managing trauma and ask about it and facilitate regular follow-up. Other clinicians are not. Workload pressures in General Practice are severe and have a bearing on availability of support. The fact a patient is not regularly attending their GP practice does not necessarily mean that they are not having problems with their health.</w:t>
      </w:r>
    </w:p>
    <w:p w14:paraId="310D874B" w14:textId="21F52B70" w:rsidR="007A34E0" w:rsidRPr="00DD473D" w:rsidRDefault="007A34E0"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t>Disclosure.</w:t>
      </w:r>
      <w:r w:rsidRPr="00DD473D">
        <w:rPr>
          <w:rFonts w:ascii="Arial" w:hAnsi="Arial" w:cs="Arial"/>
          <w:sz w:val="24"/>
          <w:szCs w:val="24"/>
        </w:rPr>
        <w:t xml:space="preserve"> A significant proportion of patients do not disclose details of any past abuse (such as torture, trafficking or domestic violence), unless asked directly about it. Even when clinicians do ask, some patients may still take months to disclose </w:t>
      </w:r>
      <w:r w:rsidR="00CD1452" w:rsidRPr="00DD473D">
        <w:rPr>
          <w:rFonts w:ascii="Arial" w:hAnsi="Arial" w:cs="Arial"/>
          <w:sz w:val="24"/>
          <w:szCs w:val="24"/>
        </w:rPr>
        <w:t xml:space="preserve">full </w:t>
      </w:r>
      <w:r w:rsidRPr="00DD473D">
        <w:rPr>
          <w:rFonts w:ascii="Arial" w:hAnsi="Arial" w:cs="Arial"/>
          <w:sz w:val="24"/>
          <w:szCs w:val="24"/>
        </w:rPr>
        <w:t xml:space="preserve">details. Some will never disclose everything </w:t>
      </w:r>
      <w:r w:rsidR="00BF7B62" w:rsidRPr="00DD473D">
        <w:rPr>
          <w:rFonts w:ascii="Arial" w:hAnsi="Arial" w:cs="Arial"/>
          <w:sz w:val="24"/>
          <w:szCs w:val="24"/>
        </w:rPr>
        <w:t>that</w:t>
      </w:r>
      <w:r w:rsidRPr="00DD473D">
        <w:rPr>
          <w:rFonts w:ascii="Arial" w:hAnsi="Arial" w:cs="Arial"/>
          <w:sz w:val="24"/>
          <w:szCs w:val="24"/>
        </w:rPr>
        <w:t xml:space="preserve"> has happened to them. Sometimes patients even deny that anything adverse has happened because they are not comfortable, at that point in time, with a disclosure.</w:t>
      </w:r>
    </w:p>
    <w:p w14:paraId="6F0C1BF0" w14:textId="78C2F17B" w:rsidR="007A34E0" w:rsidRPr="00DD473D" w:rsidRDefault="00513D3F"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t>Q</w:t>
      </w:r>
      <w:r w:rsidR="007A34E0" w:rsidRPr="00DD473D">
        <w:rPr>
          <w:rFonts w:ascii="Arial" w:hAnsi="Arial" w:cs="Arial"/>
          <w:b/>
          <w:bCs/>
          <w:sz w:val="24"/>
          <w:szCs w:val="24"/>
        </w:rPr>
        <w:t>uality</w:t>
      </w:r>
      <w:r w:rsidRPr="00DD473D">
        <w:rPr>
          <w:rFonts w:ascii="Arial" w:hAnsi="Arial" w:cs="Arial"/>
          <w:b/>
          <w:bCs/>
          <w:sz w:val="24"/>
          <w:szCs w:val="24"/>
        </w:rPr>
        <w:t xml:space="preserve"> of interpreting</w:t>
      </w:r>
      <w:r w:rsidR="007A34E0" w:rsidRPr="00DD473D">
        <w:rPr>
          <w:rFonts w:ascii="Arial" w:hAnsi="Arial" w:cs="Arial"/>
          <w:b/>
          <w:bCs/>
          <w:sz w:val="24"/>
          <w:szCs w:val="24"/>
        </w:rPr>
        <w:t>.</w:t>
      </w:r>
      <w:r w:rsidR="007A34E0" w:rsidRPr="00DD473D">
        <w:rPr>
          <w:rFonts w:ascii="Arial" w:hAnsi="Arial" w:cs="Arial"/>
          <w:sz w:val="24"/>
          <w:szCs w:val="24"/>
        </w:rPr>
        <w:t xml:space="preserve"> The quality of interpreters used by the NHS cannot</w:t>
      </w:r>
      <w:r w:rsidR="00BF7B62" w:rsidRPr="00DD473D">
        <w:rPr>
          <w:rFonts w:ascii="Arial" w:hAnsi="Arial" w:cs="Arial"/>
          <w:sz w:val="24"/>
          <w:szCs w:val="24"/>
        </w:rPr>
        <w:t xml:space="preserve"> </w:t>
      </w:r>
      <w:r w:rsidR="007A34E0" w:rsidRPr="00DD473D">
        <w:rPr>
          <w:rFonts w:ascii="Arial" w:hAnsi="Arial" w:cs="Arial"/>
          <w:sz w:val="24"/>
          <w:szCs w:val="24"/>
        </w:rPr>
        <w:t xml:space="preserve">be guaranteed. Most interpreting work is now provided via </w:t>
      </w:r>
      <w:r w:rsidR="00D42EC2" w:rsidRPr="00DD473D">
        <w:rPr>
          <w:rFonts w:ascii="Arial" w:hAnsi="Arial" w:cs="Arial"/>
          <w:sz w:val="24"/>
          <w:szCs w:val="24"/>
        </w:rPr>
        <w:t>contracts with</w:t>
      </w:r>
      <w:r w:rsidR="007A34E0" w:rsidRPr="00DD473D">
        <w:rPr>
          <w:rFonts w:ascii="Arial" w:hAnsi="Arial" w:cs="Arial"/>
          <w:sz w:val="24"/>
          <w:szCs w:val="24"/>
        </w:rPr>
        <w:t xml:space="preserve"> telephone </w:t>
      </w:r>
      <w:r w:rsidR="00D42EC2" w:rsidRPr="00DD473D">
        <w:rPr>
          <w:rFonts w:ascii="Arial" w:hAnsi="Arial" w:cs="Arial"/>
          <w:sz w:val="24"/>
          <w:szCs w:val="24"/>
        </w:rPr>
        <w:t xml:space="preserve">interpreting </w:t>
      </w:r>
      <w:r w:rsidR="007A34E0" w:rsidRPr="00DD473D">
        <w:rPr>
          <w:rFonts w:ascii="Arial" w:hAnsi="Arial" w:cs="Arial"/>
          <w:sz w:val="24"/>
          <w:szCs w:val="24"/>
        </w:rPr>
        <w:t>service</w:t>
      </w:r>
      <w:r w:rsidR="00D42EC2" w:rsidRPr="00DD473D">
        <w:rPr>
          <w:rFonts w:ascii="Arial" w:hAnsi="Arial" w:cs="Arial"/>
          <w:sz w:val="24"/>
          <w:szCs w:val="24"/>
        </w:rPr>
        <w:t>s</w:t>
      </w:r>
      <w:r w:rsidR="007A34E0" w:rsidRPr="00DD473D">
        <w:rPr>
          <w:rFonts w:ascii="Arial" w:hAnsi="Arial" w:cs="Arial"/>
          <w:sz w:val="24"/>
          <w:szCs w:val="24"/>
        </w:rPr>
        <w:t>. Regrettably some consultations have to be conducted without interpreters. As a consequence</w:t>
      </w:r>
      <w:r w:rsidR="00B16C9B" w:rsidRPr="00DD473D">
        <w:rPr>
          <w:rFonts w:ascii="Arial" w:hAnsi="Arial" w:cs="Arial"/>
          <w:sz w:val="24"/>
          <w:szCs w:val="24"/>
        </w:rPr>
        <w:t>,</w:t>
      </w:r>
      <w:r w:rsidR="007A34E0" w:rsidRPr="00DD473D">
        <w:rPr>
          <w:rFonts w:ascii="Arial" w:hAnsi="Arial" w:cs="Arial"/>
          <w:sz w:val="24"/>
          <w:szCs w:val="24"/>
        </w:rPr>
        <w:t xml:space="preserve"> information available may be limited, and/or errors may be introduced.</w:t>
      </w:r>
    </w:p>
    <w:p w14:paraId="3E98C245" w14:textId="03E35D9F" w:rsidR="007A34E0" w:rsidRPr="00DD473D" w:rsidRDefault="007A34E0"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t>Accuracy.</w:t>
      </w:r>
      <w:r w:rsidRPr="00DD473D">
        <w:rPr>
          <w:rFonts w:ascii="Arial" w:hAnsi="Arial" w:cs="Arial"/>
          <w:sz w:val="24"/>
          <w:szCs w:val="24"/>
        </w:rPr>
        <w:t xml:space="preserve"> Whilst every effort is taken to ensure accuracy, GP records can nevertheless be inaccurate. Records  </w:t>
      </w:r>
      <w:r w:rsidR="000B0D76" w:rsidRPr="00DD473D">
        <w:rPr>
          <w:rFonts w:ascii="Arial" w:hAnsi="Arial" w:cs="Arial"/>
          <w:sz w:val="24"/>
          <w:szCs w:val="24"/>
        </w:rPr>
        <w:t>may</w:t>
      </w:r>
      <w:r w:rsidRPr="00DD473D">
        <w:rPr>
          <w:rFonts w:ascii="Arial" w:hAnsi="Arial" w:cs="Arial"/>
          <w:sz w:val="24"/>
          <w:szCs w:val="24"/>
        </w:rPr>
        <w:t xml:space="preserve"> contain unclear abbreviations.  There may be typing errors.  Misunderstandings and interpreting mistakes are not uncommon. Patients do not get any opportunity to correct factual errors.</w:t>
      </w:r>
    </w:p>
    <w:p w14:paraId="0561A31E" w14:textId="4B6670BD" w:rsidR="007A34E0" w:rsidRPr="00DD473D" w:rsidRDefault="007A34E0"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t>Mental health care.</w:t>
      </w:r>
      <w:r w:rsidRPr="00DD473D">
        <w:rPr>
          <w:rFonts w:ascii="Arial" w:hAnsi="Arial" w:cs="Arial"/>
          <w:sz w:val="24"/>
          <w:szCs w:val="24"/>
        </w:rPr>
        <w:t xml:space="preserve"> GP practices and individual clinicians vary in their interest and skills around mental health, the amount of mental health prescribing they are happy with, and referrals made. Not many GPs have training in trauma and asylum related issues. In many areas it is also very difficult to get access to counselling and therapy for people seeking asylum because of a lack of resources in mental health services. Patients are often treated by default with medications for sleep and depression/anxiety. If the</w:t>
      </w:r>
      <w:r w:rsidR="0048706D" w:rsidRPr="00DD473D">
        <w:rPr>
          <w:rFonts w:ascii="Arial" w:hAnsi="Arial" w:cs="Arial"/>
          <w:sz w:val="24"/>
          <w:szCs w:val="24"/>
        </w:rPr>
        <w:t>y</w:t>
      </w:r>
      <w:r w:rsidRPr="00DD473D">
        <w:rPr>
          <w:rFonts w:ascii="Arial" w:hAnsi="Arial" w:cs="Arial"/>
          <w:sz w:val="24"/>
          <w:szCs w:val="24"/>
        </w:rPr>
        <w:t xml:space="preserve"> are prescribed </w:t>
      </w:r>
      <w:r w:rsidR="00991952" w:rsidRPr="00DD473D">
        <w:rPr>
          <w:rFonts w:ascii="Arial" w:hAnsi="Arial" w:cs="Arial"/>
          <w:sz w:val="24"/>
          <w:szCs w:val="24"/>
        </w:rPr>
        <w:t>medications</w:t>
      </w:r>
      <w:r w:rsidR="006D1CCF" w:rsidRPr="00DD473D">
        <w:rPr>
          <w:rFonts w:ascii="Arial" w:hAnsi="Arial" w:cs="Arial"/>
          <w:sz w:val="24"/>
          <w:szCs w:val="24"/>
        </w:rPr>
        <w:t xml:space="preserve"> </w:t>
      </w:r>
      <w:r w:rsidRPr="00DD473D">
        <w:rPr>
          <w:rFonts w:ascii="Arial" w:hAnsi="Arial" w:cs="Arial"/>
          <w:sz w:val="24"/>
          <w:szCs w:val="24"/>
        </w:rPr>
        <w:t>without engagement and follow up, the individual may often just stop taking them and stop seeking help. The absence of appointments about, medications and referrals for mental health need is not always because there is no mental health need. Non-adherence to medication prescribed, in the absence of other support, does not indicate that a person is free of mental health difficulties.</w:t>
      </w:r>
    </w:p>
    <w:p w14:paraId="06EEBDEC" w14:textId="038AF366" w:rsidR="00513D3F" w:rsidRPr="00DD473D" w:rsidRDefault="007A34E0" w:rsidP="002E1503">
      <w:pPr>
        <w:numPr>
          <w:ilvl w:val="1"/>
          <w:numId w:val="1"/>
        </w:numPr>
        <w:spacing w:after="0" w:line="240" w:lineRule="auto"/>
        <w:rPr>
          <w:rStyle w:val="cf01"/>
          <w:rFonts w:ascii="Arial" w:hAnsi="Arial" w:cs="Arial"/>
          <w:sz w:val="24"/>
          <w:szCs w:val="24"/>
        </w:rPr>
      </w:pPr>
      <w:r w:rsidRPr="00DD473D">
        <w:rPr>
          <w:rFonts w:ascii="Arial" w:hAnsi="Arial" w:cs="Arial"/>
          <w:b/>
          <w:bCs/>
          <w:sz w:val="24"/>
          <w:szCs w:val="24"/>
        </w:rPr>
        <w:t>GP records and suicide risk.</w:t>
      </w:r>
      <w:r w:rsidRPr="00DD473D">
        <w:rPr>
          <w:rFonts w:ascii="Arial" w:hAnsi="Arial" w:cs="Arial"/>
          <w:sz w:val="24"/>
          <w:szCs w:val="24"/>
        </w:rPr>
        <w:t xml:space="preserve"> </w:t>
      </w:r>
      <w:r w:rsidRPr="00DD473D">
        <w:rPr>
          <w:rStyle w:val="cf01"/>
          <w:rFonts w:ascii="Arial" w:hAnsi="Arial" w:cs="Arial"/>
          <w:sz w:val="24"/>
          <w:szCs w:val="24"/>
        </w:rPr>
        <w:t>GP suicide risk assessments are usually made in the moment</w:t>
      </w:r>
      <w:r w:rsidR="00196136" w:rsidRPr="00DD473D">
        <w:rPr>
          <w:rStyle w:val="cf01"/>
          <w:rFonts w:ascii="Arial" w:hAnsi="Arial" w:cs="Arial"/>
          <w:sz w:val="24"/>
          <w:szCs w:val="24"/>
        </w:rPr>
        <w:t xml:space="preserve">. They </w:t>
      </w:r>
      <w:r w:rsidRPr="00DD473D">
        <w:rPr>
          <w:rStyle w:val="cf01"/>
          <w:rFonts w:ascii="Arial" w:hAnsi="Arial" w:cs="Arial"/>
          <w:sz w:val="24"/>
          <w:szCs w:val="24"/>
        </w:rPr>
        <w:t>relate to acute suicidal ideation, rather than the level of chronic background risk</w:t>
      </w:r>
      <w:r w:rsidR="00196136" w:rsidRPr="00DD473D">
        <w:rPr>
          <w:rStyle w:val="cf01"/>
          <w:rFonts w:ascii="Arial" w:hAnsi="Arial" w:cs="Arial"/>
          <w:sz w:val="24"/>
          <w:szCs w:val="24"/>
        </w:rPr>
        <w:t xml:space="preserve"> which relates</w:t>
      </w:r>
      <w:r w:rsidRPr="00DD473D">
        <w:rPr>
          <w:rStyle w:val="cf01"/>
          <w:rFonts w:ascii="Arial" w:hAnsi="Arial" w:cs="Arial"/>
          <w:sz w:val="24"/>
          <w:szCs w:val="24"/>
        </w:rPr>
        <w:t xml:space="preserve"> to life experience, social circumstances, and personality style. </w:t>
      </w:r>
      <w:r w:rsidR="00CA7149" w:rsidRPr="00DD473D">
        <w:rPr>
          <w:rStyle w:val="cf01"/>
          <w:rFonts w:ascii="Arial" w:hAnsi="Arial" w:cs="Arial"/>
          <w:sz w:val="24"/>
          <w:szCs w:val="24"/>
        </w:rPr>
        <w:t>There can be sudden changes in risk level</w:t>
      </w:r>
      <w:r w:rsidR="002E1503" w:rsidRPr="00DD473D">
        <w:rPr>
          <w:rStyle w:val="cf01"/>
          <w:rFonts w:ascii="Arial" w:hAnsi="Arial" w:cs="Arial"/>
          <w:sz w:val="24"/>
          <w:szCs w:val="24"/>
        </w:rPr>
        <w:t xml:space="preserve"> in response to changes in a person’s circumstances. </w:t>
      </w:r>
      <w:r w:rsidRPr="00DD473D">
        <w:rPr>
          <w:rStyle w:val="cf01"/>
          <w:rFonts w:ascii="Arial" w:hAnsi="Arial" w:cs="Arial"/>
          <w:sz w:val="24"/>
          <w:szCs w:val="24"/>
        </w:rPr>
        <w:t>Presence or absence of acute suicidal ideation at a particular point in time is only one component of overall suicide risk assessment</w:t>
      </w:r>
      <w:r w:rsidR="002E1503" w:rsidRPr="00DD473D">
        <w:rPr>
          <w:rStyle w:val="cf01"/>
          <w:rFonts w:ascii="Arial" w:hAnsi="Arial" w:cs="Arial"/>
          <w:sz w:val="24"/>
          <w:szCs w:val="24"/>
        </w:rPr>
        <w:t xml:space="preserve"> and cannot be taken as a measure of risk at a different point in time.</w:t>
      </w:r>
    </w:p>
    <w:p w14:paraId="692E0066" w14:textId="77777777" w:rsidR="007A34E0" w:rsidRPr="00DD473D" w:rsidRDefault="007A34E0"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lastRenderedPageBreak/>
        <w:t>Examinations of injuries and scars relating to ill-treatment.</w:t>
      </w:r>
      <w:r w:rsidRPr="00DD473D">
        <w:rPr>
          <w:rFonts w:ascii="Arial" w:hAnsi="Arial" w:cs="Arial"/>
          <w:sz w:val="24"/>
          <w:szCs w:val="24"/>
        </w:rPr>
        <w:t xml:space="preserve"> If there have been any examinations made in general practice these are not likely to be comprehensive. Many GPs will be unaware of the significance of physical injuries in asylum claims.</w:t>
      </w:r>
    </w:p>
    <w:p w14:paraId="49BCEB2F" w14:textId="247FE662" w:rsidR="00B53510" w:rsidRPr="00DD473D" w:rsidRDefault="00B53510" w:rsidP="007A34E0">
      <w:pPr>
        <w:numPr>
          <w:ilvl w:val="1"/>
          <w:numId w:val="1"/>
        </w:numPr>
        <w:spacing w:after="0" w:line="240" w:lineRule="auto"/>
        <w:rPr>
          <w:rFonts w:ascii="Arial" w:hAnsi="Arial" w:cs="Arial"/>
          <w:sz w:val="24"/>
          <w:szCs w:val="24"/>
        </w:rPr>
      </w:pPr>
      <w:r w:rsidRPr="00DD473D">
        <w:rPr>
          <w:rFonts w:ascii="Arial" w:hAnsi="Arial" w:cs="Arial"/>
          <w:b/>
          <w:bCs/>
          <w:sz w:val="24"/>
          <w:szCs w:val="24"/>
        </w:rPr>
        <w:t>Gaps in GP records.</w:t>
      </w:r>
      <w:r w:rsidRPr="00DD473D">
        <w:rPr>
          <w:rFonts w:ascii="Arial" w:hAnsi="Arial" w:cs="Arial"/>
          <w:sz w:val="24"/>
          <w:szCs w:val="24"/>
        </w:rPr>
        <w:t xml:space="preserve"> </w:t>
      </w:r>
      <w:r w:rsidR="00E235D6" w:rsidRPr="00DD473D">
        <w:rPr>
          <w:rFonts w:ascii="Arial" w:hAnsi="Arial" w:cs="Arial"/>
          <w:sz w:val="24"/>
          <w:szCs w:val="24"/>
        </w:rPr>
        <w:t>There are many reasons why there may be gaps in a GP record</w:t>
      </w:r>
      <w:r w:rsidR="00C10CFF" w:rsidRPr="00DD473D">
        <w:rPr>
          <w:rFonts w:ascii="Arial" w:hAnsi="Arial" w:cs="Arial"/>
          <w:sz w:val="24"/>
          <w:szCs w:val="24"/>
        </w:rPr>
        <w:t xml:space="preserve"> or an apparent delay in registration</w:t>
      </w:r>
      <w:r w:rsidR="00E235D6" w:rsidRPr="00DD473D">
        <w:rPr>
          <w:rFonts w:ascii="Arial" w:hAnsi="Arial" w:cs="Arial"/>
          <w:sz w:val="24"/>
          <w:szCs w:val="24"/>
        </w:rPr>
        <w:t xml:space="preserve">. </w:t>
      </w:r>
      <w:r w:rsidR="00C10CFF" w:rsidRPr="00DD473D">
        <w:rPr>
          <w:rFonts w:ascii="Arial" w:hAnsi="Arial" w:cs="Arial"/>
          <w:sz w:val="24"/>
          <w:szCs w:val="24"/>
        </w:rPr>
        <w:t>There are many possibilities including a patient choosing not to register</w:t>
      </w:r>
      <w:r w:rsidR="009551C6" w:rsidRPr="00DD473D">
        <w:rPr>
          <w:rFonts w:ascii="Arial" w:hAnsi="Arial" w:cs="Arial"/>
          <w:sz w:val="24"/>
          <w:szCs w:val="24"/>
        </w:rPr>
        <w:t>, difficulty registering</w:t>
      </w:r>
      <w:r w:rsidR="00297C7E" w:rsidRPr="00DD473D">
        <w:rPr>
          <w:rFonts w:ascii="Arial" w:hAnsi="Arial" w:cs="Arial"/>
          <w:sz w:val="24"/>
          <w:szCs w:val="24"/>
        </w:rPr>
        <w:t>, lack of awareness of services</w:t>
      </w:r>
      <w:r w:rsidR="009551C6" w:rsidRPr="00DD473D">
        <w:rPr>
          <w:rFonts w:ascii="Arial" w:hAnsi="Arial" w:cs="Arial"/>
          <w:sz w:val="24"/>
          <w:szCs w:val="24"/>
        </w:rPr>
        <w:t xml:space="preserve"> or fears about registering</w:t>
      </w:r>
      <w:r w:rsidR="00FD261D" w:rsidRPr="00DD473D">
        <w:rPr>
          <w:rFonts w:ascii="Arial" w:hAnsi="Arial" w:cs="Arial"/>
          <w:sz w:val="24"/>
          <w:szCs w:val="24"/>
        </w:rPr>
        <w:t xml:space="preserve">. </w:t>
      </w:r>
      <w:r w:rsidR="00EC1AF7" w:rsidRPr="00DD473D">
        <w:rPr>
          <w:rFonts w:ascii="Arial" w:hAnsi="Arial" w:cs="Arial"/>
          <w:sz w:val="24"/>
          <w:szCs w:val="24"/>
        </w:rPr>
        <w:t xml:space="preserve">It is not rare for some patients to </w:t>
      </w:r>
      <w:r w:rsidR="008817C8" w:rsidRPr="00DD473D">
        <w:rPr>
          <w:rFonts w:ascii="Arial" w:hAnsi="Arial" w:cs="Arial"/>
          <w:sz w:val="24"/>
          <w:szCs w:val="24"/>
        </w:rPr>
        <w:t>have more than one NHS number and set of records due to mistakes with the spelling of names and other personal details</w:t>
      </w:r>
      <w:r w:rsidR="002F437B" w:rsidRPr="00DD473D">
        <w:rPr>
          <w:rFonts w:ascii="Arial" w:hAnsi="Arial" w:cs="Arial"/>
          <w:sz w:val="24"/>
          <w:szCs w:val="24"/>
        </w:rPr>
        <w:t>. If this comes to light the records can be merged as one, but there will be circumstances when it does not come to light and result</w:t>
      </w:r>
      <w:r w:rsidR="00FB7C16" w:rsidRPr="00DD473D">
        <w:rPr>
          <w:rFonts w:ascii="Arial" w:hAnsi="Arial" w:cs="Arial"/>
          <w:sz w:val="24"/>
          <w:szCs w:val="24"/>
        </w:rPr>
        <w:t>s</w:t>
      </w:r>
      <w:r w:rsidR="002F437B" w:rsidRPr="00DD473D">
        <w:rPr>
          <w:rFonts w:ascii="Arial" w:hAnsi="Arial" w:cs="Arial"/>
          <w:sz w:val="24"/>
          <w:szCs w:val="24"/>
        </w:rPr>
        <w:t xml:space="preserve"> in a </w:t>
      </w:r>
      <w:r w:rsidR="00FB7C16" w:rsidRPr="00DD473D">
        <w:rPr>
          <w:rFonts w:ascii="Arial" w:hAnsi="Arial" w:cs="Arial"/>
          <w:sz w:val="24"/>
          <w:szCs w:val="24"/>
        </w:rPr>
        <w:t>gap in the record.</w:t>
      </w:r>
    </w:p>
    <w:p w14:paraId="24D23D0C" w14:textId="77777777" w:rsidR="007A34E0" w:rsidRPr="00DD473D" w:rsidRDefault="007A34E0" w:rsidP="007A34E0">
      <w:pPr>
        <w:pStyle w:val="ListParagraph"/>
        <w:ind w:left="0"/>
        <w:rPr>
          <w:rFonts w:ascii="Arial" w:eastAsia="Times New Roman" w:hAnsi="Arial" w:cs="Arial"/>
          <w:sz w:val="24"/>
          <w:szCs w:val="24"/>
        </w:rPr>
      </w:pPr>
    </w:p>
    <w:p w14:paraId="68F57683" w14:textId="5500A488" w:rsidR="007A34E0" w:rsidRPr="00DD473D" w:rsidRDefault="007A34E0" w:rsidP="00794700">
      <w:pPr>
        <w:pStyle w:val="ListParagraph"/>
        <w:ind w:left="0"/>
        <w:rPr>
          <w:rFonts w:ascii="Arial" w:eastAsia="Times New Roman" w:hAnsi="Arial" w:cs="Arial"/>
          <w:sz w:val="24"/>
          <w:szCs w:val="24"/>
        </w:rPr>
      </w:pPr>
      <w:r w:rsidRPr="00DD473D">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54E3E0C3" wp14:editId="4D6EC8DD">
                <wp:simplePos x="0" y="0"/>
                <wp:positionH relativeFrom="column">
                  <wp:posOffset>194945</wp:posOffset>
                </wp:positionH>
                <wp:positionV relativeFrom="paragraph">
                  <wp:posOffset>96520</wp:posOffset>
                </wp:positionV>
                <wp:extent cx="5897880" cy="1402080"/>
                <wp:effectExtent l="13970" t="7620" r="12700" b="9525"/>
                <wp:wrapSquare wrapText="bothSides"/>
                <wp:docPr id="4681384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1402080"/>
                        </a:xfrm>
                        <a:prstGeom prst="rect">
                          <a:avLst/>
                        </a:prstGeom>
                        <a:solidFill>
                          <a:srgbClr val="FFFFFF"/>
                        </a:solidFill>
                        <a:ln w="9525">
                          <a:solidFill>
                            <a:srgbClr val="000000"/>
                          </a:solidFill>
                          <a:miter lim="800000"/>
                          <a:headEnd/>
                          <a:tailEnd/>
                        </a:ln>
                      </wps:spPr>
                      <wps:txbx>
                        <w:txbxContent>
                          <w:p w14:paraId="45326A5D" w14:textId="77777777" w:rsidR="007A34E0" w:rsidRPr="00DD473D" w:rsidRDefault="007A34E0" w:rsidP="007A34E0">
                            <w:pPr>
                              <w:rPr>
                                <w:rFonts w:ascii="Arial" w:hAnsi="Arial" w:cs="Arial"/>
                                <w:b/>
                                <w:bCs/>
                              </w:rPr>
                            </w:pPr>
                            <w:r w:rsidRPr="00DD473D">
                              <w:rPr>
                                <w:rFonts w:ascii="Arial" w:hAnsi="Arial" w:cs="Arial"/>
                                <w:b/>
                                <w:bCs/>
                              </w:rPr>
                              <w:t>Security:</w:t>
                            </w:r>
                          </w:p>
                          <w:p w14:paraId="3A273D3D" w14:textId="629AD4C1" w:rsidR="007A34E0" w:rsidRPr="00DD473D" w:rsidRDefault="007A34E0" w:rsidP="007A34E0">
                            <w:pPr>
                              <w:rPr>
                                <w:rFonts w:ascii="Arial" w:hAnsi="Arial" w:cs="Arial"/>
                              </w:rPr>
                            </w:pPr>
                            <w:r w:rsidRPr="00DD473D">
                              <w:rPr>
                                <w:rFonts w:ascii="Arial" w:hAnsi="Arial" w:cs="Arial"/>
                              </w:rPr>
                              <w:t>If you are not the patient, we must ask that you store th</w:t>
                            </w:r>
                            <w:r w:rsidR="000A4169" w:rsidRPr="00DD473D">
                              <w:rPr>
                                <w:rFonts w:ascii="Arial" w:hAnsi="Arial" w:cs="Arial"/>
                              </w:rPr>
                              <w:t>is medical</w:t>
                            </w:r>
                            <w:r w:rsidRPr="00DD473D">
                              <w:rPr>
                                <w:rFonts w:ascii="Arial" w:hAnsi="Arial" w:cs="Arial"/>
                              </w:rPr>
                              <w:t xml:space="preserve"> record securely whilst in your possession and only share it with the individual’s permission, when necessary and with data protection in place. We cannot be held responsible for any breach of our patient’s privacy resulting from your handling of their personal information.</w:t>
                            </w:r>
                          </w:p>
                          <w:p w14:paraId="0E6523A1" w14:textId="77777777" w:rsidR="007A34E0" w:rsidRDefault="007A34E0" w:rsidP="007A34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3E0C3" id="_x0000_t202" coordsize="21600,21600" o:spt="202" path="m,l,21600r21600,l21600,xe">
                <v:stroke joinstyle="miter"/>
                <v:path gradientshapeok="t" o:connecttype="rect"/>
              </v:shapetype>
              <v:shape id="Text Box 1" o:spid="_x0000_s1026" type="#_x0000_t202" style="position:absolute;margin-left:15.35pt;margin-top:7.6pt;width:464.4pt;height:11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">
                <v:textbox>
                  <w:txbxContent>
                    <w:p w14:paraId="45326A5D" w14:textId="77777777" w:rsidR="007A34E0" w:rsidRPr="00DD473D" w:rsidRDefault="007A34E0" w:rsidP="007A34E0">
                      <w:pPr>
                        <w:rPr>
                          <w:rFonts w:ascii="Arial" w:hAnsi="Arial" w:cs="Arial"/>
                          <w:b/>
                          <w:bCs/>
                        </w:rPr>
                      </w:pPr>
                      <w:r w:rsidRPr="00DD473D">
                        <w:rPr>
                          <w:rFonts w:ascii="Arial" w:hAnsi="Arial" w:cs="Arial"/>
                          <w:b/>
                          <w:bCs/>
                        </w:rPr>
                        <w:t>Security:</w:t>
                      </w:r>
                    </w:p>
                    <w:p w14:paraId="3A273D3D" w14:textId="629AD4C1" w:rsidR="007A34E0" w:rsidRPr="00DD473D" w:rsidRDefault="007A34E0" w:rsidP="007A34E0">
                      <w:pPr>
                        <w:rPr>
                          <w:rFonts w:ascii="Arial" w:hAnsi="Arial" w:cs="Arial"/>
                        </w:rPr>
                      </w:pPr>
                      <w:r w:rsidRPr="00DD473D">
                        <w:rPr>
                          <w:rFonts w:ascii="Arial" w:hAnsi="Arial" w:cs="Arial"/>
                        </w:rPr>
                        <w:t>If you are not the patient, we must ask that you store th</w:t>
                      </w:r>
                      <w:r w:rsidR="000A4169" w:rsidRPr="00DD473D">
                        <w:rPr>
                          <w:rFonts w:ascii="Arial" w:hAnsi="Arial" w:cs="Arial"/>
                        </w:rPr>
                        <w:t>is medical</w:t>
                      </w:r>
                      <w:r w:rsidRPr="00DD473D">
                        <w:rPr>
                          <w:rFonts w:ascii="Arial" w:hAnsi="Arial" w:cs="Arial"/>
                        </w:rPr>
                        <w:t xml:space="preserve"> record securely whilst in your possession and only share it with the individual’s permission, when necessary and with data protection in place. We cannot be held responsible for any breach of our patient’s privacy resulting from your handling of their personal information.</w:t>
                      </w:r>
                    </w:p>
                    <w:p w14:paraId="0E6523A1" w14:textId="77777777" w:rsidR="007A34E0" w:rsidRDefault="007A34E0" w:rsidP="007A34E0"/>
                  </w:txbxContent>
                </v:textbox>
                <w10:wrap type="square"/>
              </v:shape>
            </w:pict>
          </mc:Fallback>
        </mc:AlternateContent>
      </w:r>
    </w:p>
    <w:p w14:paraId="2BD0735B" w14:textId="77777777" w:rsidR="007A34E0" w:rsidRPr="00DD473D" w:rsidRDefault="007A34E0" w:rsidP="007A34E0">
      <w:pPr>
        <w:rPr>
          <w:rFonts w:ascii="Arial" w:hAnsi="Arial" w:cs="Arial"/>
          <w:sz w:val="24"/>
          <w:szCs w:val="24"/>
        </w:rPr>
      </w:pPr>
    </w:p>
    <w:p w14:paraId="76E635E2" w14:textId="77777777" w:rsidR="007A34E0" w:rsidRPr="00DD473D" w:rsidRDefault="007A34E0" w:rsidP="007A34E0">
      <w:pPr>
        <w:rPr>
          <w:rFonts w:ascii="Arial" w:hAnsi="Arial" w:cs="Arial"/>
          <w:sz w:val="24"/>
          <w:szCs w:val="24"/>
        </w:rPr>
      </w:pPr>
      <w:r w:rsidRPr="00DD473D">
        <w:rPr>
          <w:rFonts w:ascii="Arial" w:hAnsi="Arial" w:cs="Arial"/>
          <w:sz w:val="24"/>
          <w:szCs w:val="24"/>
        </w:rPr>
        <w:t>Yours faithfully</w:t>
      </w:r>
    </w:p>
    <w:p w14:paraId="78AE1868" w14:textId="41C2CF54" w:rsidR="007A34E0" w:rsidRPr="00DD473D" w:rsidRDefault="004035B0" w:rsidP="007A34E0">
      <w:pPr>
        <w:rPr>
          <w:rFonts w:ascii="Arial" w:hAnsi="Arial" w:cs="Arial"/>
          <w:sz w:val="24"/>
          <w:szCs w:val="24"/>
        </w:rPr>
      </w:pPr>
      <w:r w:rsidRPr="00DD473D">
        <w:rPr>
          <w:rFonts w:ascii="Arial" w:hAnsi="Arial" w:cs="Arial"/>
          <w:sz w:val="24"/>
          <w:szCs w:val="24"/>
        </w:rPr>
        <w:t>Name of service</w:t>
      </w:r>
      <w:r w:rsidR="00FB6EAD" w:rsidRPr="00DD473D">
        <w:rPr>
          <w:rFonts w:ascii="Arial" w:hAnsi="Arial" w:cs="Arial"/>
          <w:sz w:val="24"/>
          <w:szCs w:val="24"/>
        </w:rPr>
        <w:t xml:space="preserve"> or GP</w:t>
      </w:r>
      <w:r w:rsidR="007D5A34">
        <w:rPr>
          <w:rStyle w:val="EndnoteReference"/>
          <w:rFonts w:ascii="Arial" w:hAnsi="Arial" w:cs="Arial"/>
          <w:sz w:val="24"/>
          <w:szCs w:val="24"/>
        </w:rPr>
        <w:endnoteReference w:id="1"/>
      </w:r>
    </w:p>
    <w:p w14:paraId="65C9FE7F" w14:textId="77777777" w:rsidR="00545FCE" w:rsidRPr="00DD473D" w:rsidRDefault="00545FCE">
      <w:pPr>
        <w:rPr>
          <w:rFonts w:ascii="Arial" w:hAnsi="Arial" w:cs="Arial"/>
        </w:rPr>
      </w:pPr>
    </w:p>
    <w:p w14:paraId="5D291018" w14:textId="16E715CB" w:rsidR="00EA0532" w:rsidRPr="00DD473D" w:rsidRDefault="00EA0532">
      <w:pPr>
        <w:rPr>
          <w:rFonts w:ascii="Arial" w:hAnsi="Arial" w:cs="Arial"/>
        </w:rPr>
      </w:pPr>
    </w:p>
    <w:sectPr w:rsidR="00EA0532" w:rsidRPr="00DD473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610D" w14:textId="77777777" w:rsidR="00207D3E" w:rsidRDefault="00207D3E" w:rsidP="00FB6EAD">
      <w:pPr>
        <w:spacing w:after="0" w:line="240" w:lineRule="auto"/>
      </w:pPr>
      <w:r>
        <w:separator/>
      </w:r>
    </w:p>
  </w:endnote>
  <w:endnote w:type="continuationSeparator" w:id="0">
    <w:p w14:paraId="328CDABF" w14:textId="77777777" w:rsidR="00207D3E" w:rsidRDefault="00207D3E" w:rsidP="00FB6EAD">
      <w:pPr>
        <w:spacing w:after="0" w:line="240" w:lineRule="auto"/>
      </w:pPr>
      <w:r>
        <w:continuationSeparator/>
      </w:r>
    </w:p>
  </w:endnote>
  <w:endnote w:id="1">
    <w:p w14:paraId="19191D78" w14:textId="77777777" w:rsidR="007D5A34" w:rsidRPr="000160B5" w:rsidRDefault="007D5A34" w:rsidP="007D5A34">
      <w:pPr>
        <w:pStyle w:val="EndnoteText"/>
        <w:rPr>
          <w:rFonts w:ascii="Arial" w:hAnsi="Arial" w:cs="Arial"/>
          <w:color w:val="000000"/>
          <w:sz w:val="16"/>
          <w:szCs w:val="16"/>
        </w:rPr>
      </w:pPr>
      <w:r>
        <w:rPr>
          <w:rStyle w:val="EndnoteReference"/>
        </w:rPr>
        <w:endnoteRef/>
      </w:r>
      <w:r>
        <w:t xml:space="preserve"> </w:t>
      </w:r>
      <w:r w:rsidRPr="003C0D3B">
        <w:rPr>
          <w:rFonts w:ascii="Arial" w:hAnsi="Arial" w:cs="Arial"/>
          <w:sz w:val="16"/>
          <w:szCs w:val="16"/>
        </w:rPr>
        <w:t xml:space="preserve">This template has been created by </w:t>
      </w:r>
      <w:proofErr w:type="spellStart"/>
      <w:r w:rsidRPr="003C0D3B">
        <w:rPr>
          <w:rFonts w:ascii="Arial" w:hAnsi="Arial" w:cs="Arial"/>
          <w:sz w:val="16"/>
          <w:szCs w:val="16"/>
        </w:rPr>
        <w:t>TortureID</w:t>
      </w:r>
      <w:proofErr w:type="spellEnd"/>
      <w:r w:rsidRPr="003C0D3B">
        <w:rPr>
          <w:rFonts w:ascii="Arial" w:hAnsi="Arial" w:cs="Arial"/>
          <w:sz w:val="16"/>
          <w:szCs w:val="16"/>
        </w:rPr>
        <w:t xml:space="preserve"> as part of a bank of resources for NHS clinicians who are working with people who are seeking asylum. </w:t>
      </w:r>
      <w:r w:rsidRPr="003C0D3B">
        <w:rPr>
          <w:rFonts w:ascii="Arial" w:hAnsi="Arial" w:cs="Arial"/>
          <w:sz w:val="16"/>
          <w:szCs w:val="16"/>
        </w:rPr>
        <w:fldChar w:fldCharType="begin"/>
      </w:r>
      <w:r w:rsidRPr="003C0D3B">
        <w:rPr>
          <w:rFonts w:ascii="Arial" w:hAnsi="Arial" w:cs="Arial"/>
          <w:sz w:val="16"/>
          <w:szCs w:val="16"/>
        </w:rPr>
        <w:instrText xml:space="preserve"> HYPERLINK "http://www.tortureid.org" </w:instrText>
      </w:r>
      <w:r w:rsidRPr="003C0D3B">
        <w:rPr>
          <w:rFonts w:ascii="Arial" w:hAnsi="Arial" w:cs="Arial"/>
          <w:sz w:val="16"/>
          <w:szCs w:val="16"/>
        </w:rPr>
        <w:fldChar w:fldCharType="separate"/>
      </w:r>
      <w:r w:rsidRPr="003C0D3B">
        <w:rPr>
          <w:rFonts w:ascii="Arial" w:hAnsi="Arial" w:cs="Arial"/>
          <w:color w:val="0563C1" w:themeColor="hyperlink"/>
          <w:sz w:val="16"/>
          <w:szCs w:val="16"/>
          <w:u w:val="single"/>
        </w:rPr>
        <w:t>www.tortureid.org</w:t>
      </w:r>
      <w:r w:rsidRPr="003C0D3B">
        <w:rPr>
          <w:rFonts w:ascii="Arial" w:hAnsi="Arial" w:cs="Arial"/>
          <w:sz w:val="16"/>
          <w:szCs w:val="16"/>
        </w:rPr>
        <w:fldChar w:fldCharType="end"/>
      </w:r>
      <w:r w:rsidRPr="003C0D3B">
        <w:rPr>
          <w:rFonts w:ascii="Arial" w:hAnsi="Arial" w:cs="Arial"/>
          <w:sz w:val="16"/>
          <w:szCs w:val="16"/>
        </w:rPr>
        <w:t>. It has been</w:t>
      </w:r>
      <w:r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Pr="00CC3032">
        <w:rPr>
          <w:rFonts w:ascii="Arial" w:hAnsi="Arial" w:cs="Arial"/>
          <w:color w:val="000000"/>
          <w:sz w:val="16"/>
          <w:szCs w:val="16"/>
        </w:rPr>
        <w:t>agreed</w:t>
      </w:r>
      <w:proofErr w:type="gramEnd"/>
      <w:r w:rsidRPr="00CC3032">
        <w:rPr>
          <w:rFonts w:ascii="Arial" w:hAnsi="Arial" w:cs="Arial"/>
          <w:color w:val="000000"/>
          <w:sz w:val="16"/>
          <w:szCs w:val="16"/>
        </w:rPr>
        <w:t xml:space="preserve"> and adapted to the needs of the service planning to use them.</w:t>
      </w:r>
    </w:p>
    <w:p w14:paraId="738C384B" w14:textId="77777777" w:rsidR="007D5A34" w:rsidRDefault="007D5A34" w:rsidP="007D5A34">
      <w:pPr>
        <w:pStyle w:val="FootnoteText"/>
      </w:pPr>
    </w:p>
    <w:p w14:paraId="69989AE3" w14:textId="65587BD2" w:rsidR="007D5A34" w:rsidRDefault="007D5A3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4BA2" w14:textId="003EF4D0" w:rsidR="00CA3F6C" w:rsidRPr="00CA3F6C" w:rsidRDefault="00CA3F6C">
    <w:pPr>
      <w:pStyle w:val="Footer"/>
      <w:jc w:val="right"/>
      <w:rPr>
        <w:rFonts w:ascii="Arial" w:hAnsi="Arial" w:cs="Arial"/>
        <w:sz w:val="16"/>
        <w:szCs w:val="16"/>
      </w:rPr>
    </w:pPr>
  </w:p>
  <w:p w14:paraId="39E7E794" w14:textId="77777777" w:rsidR="00CA3F6C" w:rsidRDefault="00CA3F6C" w:rsidP="00CA3F6C">
    <w:pPr>
      <w:pStyle w:val="Footer"/>
      <w:rPr>
        <w:rFonts w:ascii="Arial" w:hAnsi="Arial" w:cs="Arial"/>
        <w:sz w:val="16"/>
        <w:szCs w:val="16"/>
      </w:rPr>
    </w:pPr>
  </w:p>
  <w:p w14:paraId="46CBF487" w14:textId="10ABDBE8" w:rsidR="00CA3F6C" w:rsidRDefault="00CA3F6C" w:rsidP="00CA3F6C">
    <w:pPr>
      <w:pStyle w:val="Footer"/>
    </w:pPr>
    <w:r w:rsidRPr="00CC3032">
      <w:rPr>
        <w:rFonts w:ascii="Arial" w:hAnsi="Arial" w:cs="Arial"/>
        <w:sz w:val="16"/>
        <w:szCs w:val="16"/>
      </w:rPr>
      <w:t xml:space="preserve">Nov 2023    </w:t>
    </w:r>
    <w:r w:rsidRPr="00CC3032">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979D5" w14:textId="77777777" w:rsidR="00207D3E" w:rsidRDefault="00207D3E" w:rsidP="00FB6EAD">
      <w:pPr>
        <w:spacing w:after="0" w:line="240" w:lineRule="auto"/>
      </w:pPr>
      <w:r>
        <w:separator/>
      </w:r>
    </w:p>
  </w:footnote>
  <w:footnote w:type="continuationSeparator" w:id="0">
    <w:p w14:paraId="76659832" w14:textId="77777777" w:rsidR="00207D3E" w:rsidRDefault="00207D3E" w:rsidP="00FB6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C2B"/>
    <w:multiLevelType w:val="hybridMultilevel"/>
    <w:tmpl w:val="B41C4516"/>
    <w:lvl w:ilvl="0" w:tplc="E004B32E">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90810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05"/>
    <w:rsid w:val="000A4169"/>
    <w:rsid w:val="000B0D76"/>
    <w:rsid w:val="000D4A7A"/>
    <w:rsid w:val="00196136"/>
    <w:rsid w:val="001E6C50"/>
    <w:rsid w:val="00207D3E"/>
    <w:rsid w:val="00265511"/>
    <w:rsid w:val="00297C7E"/>
    <w:rsid w:val="002E1503"/>
    <w:rsid w:val="002F437B"/>
    <w:rsid w:val="00354005"/>
    <w:rsid w:val="003E732D"/>
    <w:rsid w:val="004035B0"/>
    <w:rsid w:val="00434B7D"/>
    <w:rsid w:val="00483768"/>
    <w:rsid w:val="0048706D"/>
    <w:rsid w:val="004E4D53"/>
    <w:rsid w:val="00513D3F"/>
    <w:rsid w:val="00545FCE"/>
    <w:rsid w:val="00597A44"/>
    <w:rsid w:val="006A41E1"/>
    <w:rsid w:val="006C33F8"/>
    <w:rsid w:val="006D1CCF"/>
    <w:rsid w:val="0070449C"/>
    <w:rsid w:val="00794700"/>
    <w:rsid w:val="007A34E0"/>
    <w:rsid w:val="007D5A34"/>
    <w:rsid w:val="008817C8"/>
    <w:rsid w:val="008E6E54"/>
    <w:rsid w:val="009551C6"/>
    <w:rsid w:val="00991952"/>
    <w:rsid w:val="009C5AA1"/>
    <w:rsid w:val="00A52A52"/>
    <w:rsid w:val="00A96B47"/>
    <w:rsid w:val="00B16C9B"/>
    <w:rsid w:val="00B53510"/>
    <w:rsid w:val="00BF51EF"/>
    <w:rsid w:val="00BF7B62"/>
    <w:rsid w:val="00C10CFF"/>
    <w:rsid w:val="00CA3F6C"/>
    <w:rsid w:val="00CA7149"/>
    <w:rsid w:val="00CD1452"/>
    <w:rsid w:val="00D42EC2"/>
    <w:rsid w:val="00DB37BD"/>
    <w:rsid w:val="00DB65F2"/>
    <w:rsid w:val="00DD473D"/>
    <w:rsid w:val="00E235D6"/>
    <w:rsid w:val="00E27B8B"/>
    <w:rsid w:val="00E62959"/>
    <w:rsid w:val="00EA0532"/>
    <w:rsid w:val="00EC1AF7"/>
    <w:rsid w:val="00EF1375"/>
    <w:rsid w:val="00FB6EAD"/>
    <w:rsid w:val="00FB7C16"/>
    <w:rsid w:val="00FD2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36C9"/>
  <w15:chartTrackingRefBased/>
  <w15:docId w15:val="{1DBD3DBF-C6DC-445F-8A97-D1F62F05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E0"/>
    <w:pPr>
      <w:jc w:val="left"/>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E0"/>
    <w:pPr>
      <w:ind w:left="720"/>
      <w:contextualSpacing/>
    </w:pPr>
  </w:style>
  <w:style w:type="character" w:customStyle="1" w:styleId="cf01">
    <w:name w:val="cf01"/>
    <w:rsid w:val="007A34E0"/>
    <w:rPr>
      <w:rFonts w:ascii="Segoe UI" w:hAnsi="Segoe UI" w:cs="Segoe UI" w:hint="default"/>
      <w:sz w:val="18"/>
      <w:szCs w:val="18"/>
    </w:rPr>
  </w:style>
  <w:style w:type="character" w:styleId="CommentReference">
    <w:name w:val="annotation reference"/>
    <w:basedOn w:val="DefaultParagraphFont"/>
    <w:uiPriority w:val="99"/>
    <w:semiHidden/>
    <w:unhideWhenUsed/>
    <w:rsid w:val="004035B0"/>
    <w:rPr>
      <w:sz w:val="16"/>
      <w:szCs w:val="16"/>
    </w:rPr>
  </w:style>
  <w:style w:type="paragraph" w:styleId="CommentText">
    <w:name w:val="annotation text"/>
    <w:basedOn w:val="Normal"/>
    <w:link w:val="CommentTextChar"/>
    <w:uiPriority w:val="99"/>
    <w:unhideWhenUsed/>
    <w:rsid w:val="004035B0"/>
    <w:pPr>
      <w:spacing w:line="240" w:lineRule="auto"/>
    </w:pPr>
    <w:rPr>
      <w:sz w:val="20"/>
      <w:szCs w:val="20"/>
    </w:rPr>
  </w:style>
  <w:style w:type="character" w:customStyle="1" w:styleId="CommentTextChar">
    <w:name w:val="Comment Text Char"/>
    <w:basedOn w:val="DefaultParagraphFont"/>
    <w:link w:val="CommentText"/>
    <w:uiPriority w:val="99"/>
    <w:rsid w:val="004035B0"/>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035B0"/>
    <w:rPr>
      <w:b/>
      <w:bCs/>
    </w:rPr>
  </w:style>
  <w:style w:type="character" w:customStyle="1" w:styleId="CommentSubjectChar">
    <w:name w:val="Comment Subject Char"/>
    <w:basedOn w:val="CommentTextChar"/>
    <w:link w:val="CommentSubject"/>
    <w:uiPriority w:val="99"/>
    <w:semiHidden/>
    <w:rsid w:val="004035B0"/>
    <w:rPr>
      <w:rFonts w:ascii="Calibri" w:eastAsia="Calibri" w:hAnsi="Calibri" w:cs="Times New Roman"/>
      <w:b/>
      <w:bCs/>
      <w:kern w:val="0"/>
      <w:sz w:val="20"/>
      <w:szCs w:val="20"/>
      <w14:ligatures w14:val="none"/>
    </w:rPr>
  </w:style>
  <w:style w:type="paragraph" w:styleId="EndnoteText">
    <w:name w:val="endnote text"/>
    <w:basedOn w:val="Normal"/>
    <w:link w:val="EndnoteTextChar"/>
    <w:uiPriority w:val="99"/>
    <w:unhideWhenUsed/>
    <w:rsid w:val="00FB6EAD"/>
    <w:pPr>
      <w:spacing w:after="0" w:line="240" w:lineRule="auto"/>
    </w:pPr>
    <w:rPr>
      <w:sz w:val="20"/>
      <w:szCs w:val="20"/>
    </w:rPr>
  </w:style>
  <w:style w:type="character" w:customStyle="1" w:styleId="EndnoteTextChar">
    <w:name w:val="Endnote Text Char"/>
    <w:basedOn w:val="DefaultParagraphFont"/>
    <w:link w:val="EndnoteText"/>
    <w:uiPriority w:val="99"/>
    <w:rsid w:val="00FB6EAD"/>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FB6EAD"/>
    <w:rPr>
      <w:vertAlign w:val="superscript"/>
    </w:rPr>
  </w:style>
  <w:style w:type="paragraph" w:styleId="Header">
    <w:name w:val="header"/>
    <w:basedOn w:val="Normal"/>
    <w:link w:val="HeaderChar"/>
    <w:uiPriority w:val="99"/>
    <w:unhideWhenUsed/>
    <w:rsid w:val="00CA3F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F6C"/>
    <w:rPr>
      <w:rFonts w:ascii="Calibri" w:eastAsia="Calibri" w:hAnsi="Calibri" w:cs="Times New Roman"/>
      <w:kern w:val="0"/>
      <w14:ligatures w14:val="none"/>
    </w:rPr>
  </w:style>
  <w:style w:type="paragraph" w:styleId="Footer">
    <w:name w:val="footer"/>
    <w:basedOn w:val="Normal"/>
    <w:link w:val="FooterChar"/>
    <w:uiPriority w:val="99"/>
    <w:unhideWhenUsed/>
    <w:rsid w:val="00CA3F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F6C"/>
    <w:rPr>
      <w:rFonts w:ascii="Calibri" w:eastAsia="Calibri" w:hAnsi="Calibri" w:cs="Times New Roman"/>
      <w:kern w:val="0"/>
      <w14:ligatures w14:val="none"/>
    </w:rPr>
  </w:style>
  <w:style w:type="character" w:styleId="FootnoteReference">
    <w:name w:val="footnote reference"/>
    <w:basedOn w:val="DefaultParagraphFont"/>
    <w:uiPriority w:val="99"/>
    <w:semiHidden/>
    <w:unhideWhenUsed/>
    <w:rsid w:val="00CA3F6C"/>
    <w:rPr>
      <w:vertAlign w:val="superscript"/>
    </w:rPr>
  </w:style>
  <w:style w:type="paragraph" w:styleId="FootnoteText">
    <w:name w:val="footnote text"/>
    <w:basedOn w:val="Normal"/>
    <w:link w:val="FootnoteTextChar"/>
    <w:uiPriority w:val="99"/>
    <w:semiHidden/>
    <w:unhideWhenUsed/>
    <w:rsid w:val="008E6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E54"/>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66FD-2D61-4602-97BF-0ED1B521A5A1}">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2.xml><?xml version="1.0" encoding="utf-8"?>
<ds:datastoreItem xmlns:ds="http://schemas.openxmlformats.org/officeDocument/2006/customXml" ds:itemID="{80001D40-2B10-4AEE-AC6F-85A76E8C2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2A03E1-5639-4833-B86A-B364547FE969}">
  <ds:schemaRefs>
    <ds:schemaRef ds:uri="http://schemas.microsoft.com/sharepoint/v3/contenttype/forms"/>
  </ds:schemaRefs>
</ds:datastoreItem>
</file>

<file path=customXml/itemProps4.xml><?xml version="1.0" encoding="utf-8"?>
<ds:datastoreItem xmlns:ds="http://schemas.openxmlformats.org/officeDocument/2006/customXml" ds:itemID="{8F14CE25-DA95-4345-BAF9-DA4C1729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Miller</dc:creator>
  <cp:keywords/>
  <dc:description/>
  <cp:lastModifiedBy>Railton, Cathie</cp:lastModifiedBy>
  <cp:revision>8</cp:revision>
  <dcterms:created xsi:type="dcterms:W3CDTF">2023-11-12T16:23:00Z</dcterms:created>
  <dcterms:modified xsi:type="dcterms:W3CDTF">2023-11-22T13:22:00Z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